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080" w:type="dxa"/>
        <w:jc w:val="center"/>
        <w:tblInd w:w="0" w:type="dxa"/>
        <w:tblLayout w:type="fixed"/>
        <w:tblCellMar>
          <w:top w:w="0" w:type="dxa"/>
          <w:left w:w="0" w:type="dxa"/>
          <w:bottom w:w="0" w:type="dxa"/>
          <w:right w:w="0" w:type="dxa"/>
        </w:tblCellMar>
      </w:tblPr>
      <w:tblGrid>
        <w:gridCol w:w="10080"/>
      </w:tblGrid>
      <w:tr>
        <w:trPr>
          <w:trHeight w:val="140" w:hRule="exact"/>
        </w:trPr>
        <w:tc>
          <w:tcPr>
            <w:tcW w:w="10080" w:type="dxa"/>
            <w:tcBorders/>
            <w:shd w:fill="0F766E" w:val="clear"/>
          </w:tcPr>
          <w:p>
            <w:pPr>
              <w:pStyle w:val="Normal"/>
              <w:widowControl/>
              <w:bidi w:val="0"/>
              <w:spacing w:lineRule="auto" w:line="252" w:before="0" w:after="100"/>
              <w:jc w:val="left"/>
              <w:rPr/>
            </w:pPr>
            <w:r>
              <w:rPr/>
            </w:r>
          </w:p>
        </w:tc>
      </w:tr>
    </w:tbl>
    <w:p>
      <w:pPr>
        <w:pStyle w:val="Normal"/>
        <w:spacing w:before="880" w:after="200"/>
        <w:rPr>
          <w:rFonts w:ascii="Nimbus Sans" w:hAnsi="Nimbus Sans" w:eastAsia="Nimbus Sans"/>
          <w:b/>
          <w:i w:val="false"/>
          <w:color w:val="0F766E"/>
          <w:sz w:val="18"/>
        </w:rPr>
      </w:pPr>
      <w:r>
        <w:rPr>
          <w:rFonts w:eastAsia="Nimbus Sans"/>
          <w:b/>
          <w:i w:val="false"/>
          <w:color w:val="0F766E"/>
          <w:sz w:val="18"/>
        </w:rPr>
        <w:t>DESIGN REPORT  /  INCIDENT ASSESSMENT</w:t>
      </w:r>
    </w:p>
    <w:p>
      <w:pPr>
        <w:pStyle w:val="Title"/>
        <w:rPr>
          <w:rFonts w:ascii="Nimbus Sans" w:hAnsi="Nimbus Sans" w:eastAsia="Nimbus Sans"/>
          <w:b/>
          <w:i w:val="false"/>
          <w:color w:val="111827"/>
          <w:sz w:val="60"/>
        </w:rPr>
      </w:pPr>
      <w:r>
        <w:rPr>
          <w:rFonts w:eastAsia="Nimbus Sans" w:ascii="Nimbus Sans" w:hAnsi="Nimbus Sans"/>
          <w:b/>
          <w:i w:val="false"/>
          <w:color w:val="111827"/>
          <w:sz w:val="60"/>
        </w:rPr>
        <w:t>OWASP API Security</w:t>
        <w:br/>
        <w:t>Subdomain Takeover</w:t>
      </w:r>
    </w:p>
    <w:p>
      <w:pPr>
        <w:pStyle w:val="Normal"/>
        <w:spacing w:lineRule="auto" w:line="252" w:before="0" w:after="360"/>
        <w:rPr>
          <w:rFonts w:ascii="Nimbus Sans" w:hAnsi="Nimbus Sans" w:eastAsia="Nimbus Sans"/>
          <w:b w:val="false"/>
          <w:i w:val="false"/>
          <w:color w:val="475467"/>
          <w:sz w:val="28"/>
        </w:rPr>
      </w:pPr>
      <w:r>
        <w:rPr>
          <w:rFonts w:eastAsia="Nimbus Sans"/>
          <w:b w:val="false"/>
          <w:i w:val="false"/>
          <w:color w:val="475467"/>
          <w:sz w:val="28"/>
        </w:rPr>
        <w:t>Technical cause, attribution, response quality and institutional credibility</w:t>
      </w:r>
    </w:p>
    <w:tbl>
      <w:tblPr>
        <w:tblW w:w="10080" w:type="dxa"/>
        <w:jc w:val="center"/>
        <w:tblInd w:w="0" w:type="dxa"/>
        <w:tblLayout w:type="fixed"/>
        <w:tblCellMar>
          <w:top w:w="0" w:type="dxa"/>
          <w:left w:w="0" w:type="dxa"/>
          <w:bottom w:w="0" w:type="dxa"/>
          <w:right w:w="0" w:type="dxa"/>
        </w:tblCellMar>
      </w:tblPr>
      <w:tblGrid>
        <w:gridCol w:w="5040"/>
        <w:gridCol w:w="5040"/>
      </w:tblGrid>
      <w:tr>
        <w:trPr>
          <w:cantSplit/>
        </w:trPr>
        <w:tc>
          <w:tcPr>
            <w:tcW w:w="5040" w:type="dxa"/>
            <w:tcBorders/>
            <w:shd w:fill="0F766E" w:val="clear"/>
          </w:tcPr>
          <w:p>
            <w:pPr>
              <w:pStyle w:val="Normal"/>
              <w:widowControl/>
              <w:bidi w:val="0"/>
              <w:spacing w:lineRule="auto" w:line="252" w:before="0" w:after="100"/>
              <w:jc w:val="left"/>
              <w:rPr/>
            </w:pPr>
            <w:r>
              <w:rPr/>
            </w:r>
          </w:p>
        </w:tc>
        <w:tc>
          <w:tcPr>
            <w:tcW w:w="5040" w:type="dxa"/>
            <w:tcBorders/>
            <w:shd w:fill="17243A" w:val="clear"/>
            <w:tcMar>
              <w:top w:w="120" w:type="dxa"/>
              <w:left w:w="170" w:type="dxa"/>
              <w:bottom w:w="120" w:type="dxa"/>
              <w:right w:w="170" w:type="dxa"/>
            </w:tcMar>
          </w:tcPr>
          <w:p>
            <w:pPr>
              <w:pStyle w:val="Normal"/>
              <w:spacing w:lineRule="auto" w:line="250" w:before="0" w:after="0"/>
              <w:rPr/>
            </w:pPr>
            <w:r>
              <w:rPr>
                <w:rFonts w:eastAsia="Nimbus Sans"/>
                <w:b/>
                <w:i w:val="false"/>
                <w:color w:val="0F766E"/>
                <w:sz w:val="16"/>
              </w:rPr>
              <w:t>BOTTOM LINE</w:t>
              <w:br/>
            </w:r>
            <w:r>
              <w:rPr>
                <w:rFonts w:eastAsia="Nimbus Sans"/>
                <w:b/>
                <w:i w:val="false"/>
                <w:color w:val="FFFFFF"/>
                <w:sz w:val="20"/>
              </w:rPr>
              <w:t>An official OWASP hostname was taken over through a lost GitHub Pages custom-domain binding. The public record does not support registrar expiry, authoritative DNS hijack or credential compromise. It does support a genuine compromise of the web property.</w:t>
            </w:r>
          </w:p>
        </w:tc>
      </w:tr>
    </w:tbl>
    <w:p>
      <w:pPr>
        <w:pStyle w:val="Normal"/>
        <w:spacing w:before="0" w:after="200"/>
        <w:rPr/>
      </w:pPr>
      <w:r>
        <w:rPr/>
      </w:r>
    </w:p>
    <w:tbl>
      <w:tblPr>
        <w:tblW w:w="10080" w:type="dxa"/>
        <w:jc w:val="center"/>
        <w:tblInd w:w="0" w:type="dxa"/>
        <w:tblLayout w:type="fixed"/>
        <w:tblCellMar>
          <w:top w:w="90" w:type="dxa"/>
          <w:left w:w="110" w:type="dxa"/>
          <w:bottom w:w="90" w:type="dxa"/>
          <w:right w:w="110" w:type="dxa"/>
        </w:tblCellMar>
      </w:tblPr>
      <w:tblGrid>
        <w:gridCol w:w="5040"/>
        <w:gridCol w:w="5040"/>
      </w:tblGrid>
      <w:tr>
        <w:trPr>
          <w:cantSplit/>
        </w:trPr>
        <w:tc>
          <w:tcPr>
            <w:tcW w:w="504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667085"/>
                <w:sz w:val="15"/>
              </w:rPr>
            </w:pPr>
            <w:r>
              <w:rPr>
                <w:rFonts w:eastAsia="Nimbus Sans"/>
                <w:b/>
                <w:color w:val="667085"/>
                <w:sz w:val="15"/>
              </w:rPr>
              <w:t>PREPARED FOR</w:t>
            </w:r>
          </w:p>
        </w:tc>
        <w:tc>
          <w:tcPr>
            <w:tcW w:w="504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8"/>
              </w:rPr>
            </w:pPr>
            <w:r>
              <w:rPr>
                <w:rFonts w:eastAsia="Nimbus Sans"/>
                <w:b w:val="false"/>
                <w:color w:val="111827"/>
                <w:sz w:val="18"/>
              </w:rPr>
              <w:t>Andrew Smalley</w:t>
            </w:r>
          </w:p>
        </w:tc>
      </w:tr>
      <w:tr>
        <w:trPr>
          <w:cantSplit/>
        </w:trPr>
        <w:tc>
          <w:tcPr>
            <w:tcW w:w="504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667085"/>
                <w:sz w:val="15"/>
              </w:rPr>
            </w:pPr>
            <w:r>
              <w:rPr>
                <w:rFonts w:eastAsia="Nimbus Sans"/>
                <w:b/>
                <w:color w:val="667085"/>
                <w:sz w:val="15"/>
              </w:rPr>
              <w:t>ASSESSMENT DATE</w:t>
            </w:r>
          </w:p>
        </w:tc>
        <w:tc>
          <w:tcPr>
            <w:tcW w:w="504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8"/>
              </w:rPr>
            </w:pPr>
            <w:r>
              <w:rPr>
                <w:rFonts w:eastAsia="Nimbus Sans"/>
                <w:b w:val="false"/>
                <w:color w:val="111827"/>
                <w:sz w:val="18"/>
              </w:rPr>
              <w:t>22 September 2026</w:t>
            </w:r>
          </w:p>
        </w:tc>
      </w:tr>
      <w:tr>
        <w:trPr>
          <w:cantSplit/>
        </w:trPr>
        <w:tc>
          <w:tcPr>
            <w:tcW w:w="504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667085"/>
                <w:sz w:val="15"/>
              </w:rPr>
            </w:pPr>
            <w:r>
              <w:rPr>
                <w:rFonts w:eastAsia="Nimbus Sans"/>
                <w:b/>
                <w:color w:val="667085"/>
                <w:sz w:val="15"/>
              </w:rPr>
              <w:t>EVIDENCE WINDOW</w:t>
            </w:r>
          </w:p>
        </w:tc>
        <w:tc>
          <w:tcPr>
            <w:tcW w:w="504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8"/>
              </w:rPr>
            </w:pPr>
            <w:r>
              <w:rPr>
                <w:rFonts w:eastAsia="Nimbus Sans"/>
                <w:b w:val="false"/>
                <w:color w:val="111827"/>
                <w:sz w:val="18"/>
              </w:rPr>
              <w:t>11–22 September 2026</w:t>
            </w:r>
          </w:p>
        </w:tc>
      </w:tr>
      <w:tr>
        <w:trPr>
          <w:cantSplit/>
        </w:trPr>
        <w:tc>
          <w:tcPr>
            <w:tcW w:w="504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667085"/>
                <w:sz w:val="15"/>
              </w:rPr>
            </w:pPr>
            <w:r>
              <w:rPr>
                <w:rFonts w:eastAsia="Nimbus Sans"/>
                <w:b/>
                <w:color w:val="667085"/>
                <w:sz w:val="15"/>
              </w:rPr>
              <w:t>METHOD</w:t>
            </w:r>
          </w:p>
        </w:tc>
        <w:tc>
          <w:tcPr>
            <w:tcW w:w="504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8"/>
              </w:rPr>
            </w:pPr>
            <w:r>
              <w:rPr>
                <w:rFonts w:eastAsia="Nimbus Sans"/>
                <w:b w:val="false"/>
                <w:color w:val="111827"/>
                <w:sz w:val="18"/>
              </w:rPr>
              <w:t>Public archives, repository history, official guidance and public statements</w:t>
            </w:r>
          </w:p>
        </w:tc>
      </w:tr>
    </w:tbl>
    <w:p>
      <w:pPr>
        <w:pStyle w:val="Normal"/>
        <w:spacing w:lineRule="auto" w:line="252" w:before="0" w:after="40"/>
        <w:rPr>
          <w:rFonts w:ascii="Nimbus Sans" w:hAnsi="Nimbus Sans" w:eastAsia="Nimbus Sans"/>
          <w:b/>
          <w:i w:val="false"/>
          <w:color w:val="B54708"/>
          <w:sz w:val="15"/>
        </w:rPr>
      </w:pPr>
      <w:r>
        <w:rPr>
          <w:rFonts w:eastAsia="Nimbus Sans"/>
          <w:b/>
          <w:i w:val="false"/>
          <w:color w:val="B54708"/>
          <w:sz w:val="15"/>
        </w:rPr>
        <w:t>SCOPE NOTE</w:t>
      </w:r>
    </w:p>
    <w:p>
      <w:pPr>
        <w:pStyle w:val="Normal"/>
        <w:spacing w:lineRule="auto" w:line="252" w:before="0" w:after="0"/>
        <w:rPr>
          <w:rFonts w:ascii="Nimbus Sans" w:hAnsi="Nimbus Sans" w:eastAsia="Nimbus Sans"/>
          <w:b w:val="false"/>
          <w:i w:val="false"/>
          <w:color w:val="667085"/>
          <w:sz w:val="17"/>
        </w:rPr>
      </w:pPr>
      <w:r>
        <w:rPr>
          <w:rFonts w:eastAsia="Nimbus Sans"/>
          <w:b w:val="false"/>
          <w:i w:val="false"/>
          <w:color w:val="667085"/>
          <w:sz w:val="17"/>
        </w:rPr>
        <w:t>This report assesses observable facts. It has no access to OWASP, GitHub, Cloudflare or NOX private logs and does not determine criminal or civil liability.</w:t>
      </w:r>
    </w:p>
    <w:p>
      <w:pPr>
        <w:pStyle w:val="Normal"/>
        <w:rPr/>
      </w:pPr>
      <w:r>
        <w:rPr/>
      </w:r>
      <w:r>
        <w:br w:type="page"/>
      </w:r>
    </w:p>
    <w:p>
      <w:pPr>
        <w:pStyle w:val="Normal"/>
        <w:keepLines/>
        <w:spacing w:lineRule="auto" w:line="252" w:before="0" w:after="80"/>
        <w:rPr>
          <w:rFonts w:ascii="Nimbus Sans" w:hAnsi="Nimbus Sans" w:eastAsia="Nimbus Sans"/>
          <w:b/>
          <w:i w:val="false"/>
          <w:color w:val="0F766E"/>
          <w:sz w:val="16"/>
        </w:rPr>
      </w:pPr>
      <w:r>
        <w:rPr>
          <w:rFonts w:eastAsia="Nimbus Sans"/>
          <w:b/>
          <w:i w:val="false"/>
          <w:color w:val="0F766E"/>
          <w:sz w:val="16"/>
        </w:rPr>
        <w:t>01 / EXECUTIVE ASSESSMENT</w:t>
      </w:r>
    </w:p>
    <w:p>
      <w:pPr>
        <w:pStyle w:val="Heading1"/>
        <w:rPr/>
      </w:pPr>
      <w:r>
        <w:rPr/>
        <w:t>Executive assessment</w:t>
      </w:r>
    </w:p>
    <w:p>
      <w:pPr>
        <w:pStyle w:val="Normal"/>
        <w:spacing w:lineRule="auto" w:line="252" w:before="0" w:after="180"/>
        <w:rPr>
          <w:rFonts w:ascii="Nimbus Sans" w:hAnsi="Nimbus Sans" w:eastAsia="Nimbus Sans"/>
          <w:b w:val="false"/>
          <w:i w:val="false"/>
          <w:color w:val="111827"/>
          <w:sz w:val="19"/>
        </w:rPr>
      </w:pPr>
      <w:r>
        <w:rPr>
          <w:rFonts w:eastAsia="Nimbus Sans"/>
          <w:b w:val="false"/>
          <w:i w:val="false"/>
          <w:color w:val="111827"/>
          <w:sz w:val="19"/>
        </w:rPr>
        <w:t>The controversy is largely semantic only if the technical layers are collapsed. Once registration, DNS, hosting and content control are separated, the core conclusion is straightforward: OWASP retained its registered domain, yet lost exclusive control of an official subdomain long enough for a third party to publish its own content under that trusted hostname.</w:t>
      </w:r>
    </w:p>
    <w:tbl>
      <w:tblPr>
        <w:tblW w:w="10080" w:type="dxa"/>
        <w:jc w:val="center"/>
        <w:tblInd w:w="0" w:type="dxa"/>
        <w:tblLayout w:type="fixed"/>
        <w:tblCellMar>
          <w:top w:w="130" w:type="dxa"/>
          <w:left w:w="150" w:type="dxa"/>
          <w:bottom w:w="125" w:type="dxa"/>
          <w:right w:w="150" w:type="dxa"/>
        </w:tblCellMar>
      </w:tblPr>
      <w:tblGrid>
        <w:gridCol w:w="5040"/>
        <w:gridCol w:w="5040"/>
      </w:tblGrid>
      <w:tr>
        <w:trPr>
          <w:cantSplit/>
        </w:trPr>
        <w:tc>
          <w:tcPr>
            <w:tcW w:w="5040" w:type="dxa"/>
            <w:tcBorders>
              <w:top w:val="single" w:sz="6" w:space="0" w:color="D0D5DD"/>
              <w:left w:val="single" w:sz="6" w:space="0" w:color="D0D5DD"/>
              <w:bottom w:val="single" w:sz="6" w:space="0" w:color="D0D5DD"/>
              <w:right w:val="single" w:sz="6" w:space="0" w:color="D0D5DD"/>
            </w:tcBorders>
            <w:shd w:fill="FFFFFF" w:val="clear"/>
          </w:tcPr>
          <w:p>
            <w:pPr>
              <w:pStyle w:val="Normal"/>
              <w:keepLines/>
              <w:spacing w:lineRule="auto" w:line="252" w:before="0" w:after="40"/>
              <w:rPr>
                <w:rFonts w:ascii="Nimbus Sans" w:hAnsi="Nimbus Sans" w:eastAsia="Nimbus Sans"/>
                <w:b/>
                <w:i w:val="false"/>
                <w:color w:val="667085"/>
                <w:sz w:val="15"/>
              </w:rPr>
            </w:pPr>
            <w:r>
              <w:rPr>
                <w:rFonts w:eastAsia="Nimbus Sans"/>
                <w:b/>
                <w:i w:val="false"/>
                <w:color w:val="667085"/>
                <w:sz w:val="15"/>
              </w:rPr>
              <w:t>WAS IT DNS</w:t>
            </w:r>
          </w:p>
          <w:p>
            <w:pPr>
              <w:pStyle w:val="Normal"/>
              <w:keepLines/>
              <w:spacing w:lineRule="auto" w:line="252" w:before="0" w:after="80"/>
              <w:rPr>
                <w:rFonts w:ascii="Nimbus Sans" w:hAnsi="Nimbus Sans" w:eastAsia="Nimbus Sans"/>
                <w:b/>
                <w:i w:val="false"/>
                <w:color w:val="0F766E"/>
                <w:sz w:val="24"/>
              </w:rPr>
            </w:pPr>
            <w:r>
              <w:rPr>
                <w:rFonts w:eastAsia="Nimbus Sans"/>
                <w:b/>
                <w:i w:val="false"/>
                <w:color w:val="0F766E"/>
                <w:sz w:val="24"/>
              </w:rPr>
              <w:t>DNS-adjacent</w:t>
            </w:r>
          </w:p>
          <w:p>
            <w:pPr>
              <w:pStyle w:val="Normal"/>
              <w:spacing w:lineRule="auto" w:line="245" w:before="0" w:after="0"/>
              <w:rPr>
                <w:rFonts w:ascii="Nimbus Sans" w:hAnsi="Nimbus Sans" w:eastAsia="Nimbus Sans"/>
                <w:b w:val="false"/>
                <w:i w:val="false"/>
                <w:color w:val="111827"/>
                <w:sz w:val="17"/>
              </w:rPr>
            </w:pPr>
            <w:r>
              <w:rPr>
                <w:rFonts w:eastAsia="Nimbus Sans"/>
                <w:b w:val="false"/>
                <w:i w:val="false"/>
                <w:color w:val="111827"/>
                <w:sz w:val="17"/>
              </w:rPr>
              <w:t>DNS continued directing an OWASP hostname towards GitHub Pages. No public artifact shows the authoritative zone or DNS credentials were altered.</w:t>
            </w:r>
          </w:p>
        </w:tc>
        <w:tc>
          <w:tcPr>
            <w:tcW w:w="5040" w:type="dxa"/>
            <w:tcBorders>
              <w:top w:val="single" w:sz="6" w:space="0" w:color="D0D5DD"/>
              <w:left w:val="single" w:sz="6" w:space="0" w:color="D0D5DD"/>
              <w:bottom w:val="single" w:sz="6" w:space="0" w:color="D0D5DD"/>
              <w:right w:val="single" w:sz="6" w:space="0" w:color="D0D5DD"/>
            </w:tcBorders>
            <w:shd w:fill="FFFFFF" w:val="clear"/>
          </w:tcPr>
          <w:p>
            <w:pPr>
              <w:pStyle w:val="Normal"/>
              <w:keepLines/>
              <w:spacing w:lineRule="auto" w:line="252" w:before="0" w:after="40"/>
              <w:rPr>
                <w:rFonts w:ascii="Nimbus Sans" w:hAnsi="Nimbus Sans" w:eastAsia="Nimbus Sans"/>
                <w:b/>
                <w:i w:val="false"/>
                <w:color w:val="667085"/>
                <w:sz w:val="15"/>
              </w:rPr>
            </w:pPr>
            <w:r>
              <w:rPr>
                <w:rFonts w:eastAsia="Nimbus Sans"/>
                <w:b/>
                <w:i w:val="false"/>
                <w:color w:val="667085"/>
                <w:sz w:val="15"/>
              </w:rPr>
              <w:t>WAS OWASP HACKED</w:t>
            </w:r>
          </w:p>
          <w:p>
            <w:pPr>
              <w:pStyle w:val="Normal"/>
              <w:keepLines/>
              <w:spacing w:lineRule="auto" w:line="252" w:before="0" w:after="80"/>
              <w:rPr>
                <w:rFonts w:ascii="Nimbus Sans" w:hAnsi="Nimbus Sans" w:eastAsia="Nimbus Sans"/>
                <w:b/>
                <w:i w:val="false"/>
                <w:color w:val="B42318"/>
                <w:sz w:val="24"/>
              </w:rPr>
            </w:pPr>
            <w:r>
              <w:rPr>
                <w:rFonts w:eastAsia="Nimbus Sans"/>
                <w:b/>
                <w:i w:val="false"/>
                <w:color w:val="B42318"/>
                <w:sz w:val="24"/>
              </w:rPr>
              <w:t>The hostname was</w:t>
            </w:r>
          </w:p>
          <w:p>
            <w:pPr>
              <w:pStyle w:val="Normal"/>
              <w:spacing w:lineRule="auto" w:line="245" w:before="0" w:after="0"/>
              <w:rPr>
                <w:rFonts w:ascii="Nimbus Sans" w:hAnsi="Nimbus Sans" w:eastAsia="Nimbus Sans"/>
                <w:b w:val="false"/>
                <w:i w:val="false"/>
                <w:color w:val="111827"/>
                <w:sz w:val="17"/>
              </w:rPr>
            </w:pPr>
            <w:r>
              <w:rPr>
                <w:rFonts w:eastAsia="Nimbus Sans"/>
                <w:b w:val="false"/>
                <w:i w:val="false"/>
                <w:color w:val="111827"/>
                <w:sz w:val="17"/>
              </w:rPr>
              <w:t>The web property was compromised. No evidence presently shows penetration of an OWASP server, account, registrar or DNS provider.</w:t>
            </w:r>
          </w:p>
        </w:tc>
      </w:tr>
      <w:tr>
        <w:trPr>
          <w:cantSplit/>
        </w:trPr>
        <w:tc>
          <w:tcPr>
            <w:tcW w:w="5040" w:type="dxa"/>
            <w:tcBorders>
              <w:top w:val="single" w:sz="6" w:space="0" w:color="D0D5DD"/>
              <w:left w:val="single" w:sz="6" w:space="0" w:color="D0D5DD"/>
              <w:bottom w:val="single" w:sz="6" w:space="0" w:color="D0D5DD"/>
              <w:right w:val="single" w:sz="6" w:space="0" w:color="D0D5DD"/>
            </w:tcBorders>
            <w:shd w:fill="FFFFFF" w:val="clear"/>
          </w:tcPr>
          <w:p>
            <w:pPr>
              <w:pStyle w:val="Normal"/>
              <w:keepLines/>
              <w:spacing w:lineRule="auto" w:line="252" w:before="0" w:after="40"/>
              <w:rPr>
                <w:rFonts w:ascii="Nimbus Sans" w:hAnsi="Nimbus Sans" w:eastAsia="Nimbus Sans"/>
                <w:b/>
                <w:i w:val="false"/>
                <w:color w:val="667085"/>
                <w:sz w:val="15"/>
              </w:rPr>
            </w:pPr>
            <w:r>
              <w:rPr>
                <w:rFonts w:eastAsia="Nimbus Sans"/>
                <w:b/>
                <w:i w:val="false"/>
                <w:color w:val="667085"/>
                <w:sz w:val="15"/>
              </w:rPr>
              <w:t>DID A DOMAIN EXPIRE</w:t>
            </w:r>
          </w:p>
          <w:p>
            <w:pPr>
              <w:pStyle w:val="Normal"/>
              <w:keepLines/>
              <w:spacing w:lineRule="auto" w:line="252" w:before="0" w:after="80"/>
              <w:rPr>
                <w:rFonts w:ascii="Nimbus Sans" w:hAnsi="Nimbus Sans" w:eastAsia="Nimbus Sans"/>
                <w:b/>
                <w:i w:val="false"/>
                <w:color w:val="0F766E"/>
                <w:sz w:val="24"/>
              </w:rPr>
            </w:pPr>
            <w:r>
              <w:rPr>
                <w:rFonts w:eastAsia="Nimbus Sans"/>
                <w:b/>
                <w:i w:val="false"/>
                <w:color w:val="0F766E"/>
                <w:sz w:val="24"/>
              </w:rPr>
              <w:t>No</w:t>
            </w:r>
          </w:p>
          <w:p>
            <w:pPr>
              <w:pStyle w:val="Normal"/>
              <w:spacing w:lineRule="auto" w:line="245" w:before="0" w:after="0"/>
              <w:rPr>
                <w:rFonts w:ascii="Nimbus Sans" w:hAnsi="Nimbus Sans" w:eastAsia="Nimbus Sans"/>
                <w:b w:val="false"/>
                <w:i w:val="false"/>
                <w:color w:val="111827"/>
                <w:sz w:val="17"/>
              </w:rPr>
            </w:pPr>
            <w:r>
              <w:rPr>
                <w:rFonts w:eastAsia="Nimbus Sans"/>
                <w:b w:val="false"/>
                <w:i w:val="false"/>
                <w:color w:val="111827"/>
                <w:sz w:val="17"/>
              </w:rPr>
              <w:t>api-security.owasp.org is a subdomain, not a separately registered domain. Public WHOIS showed owasp.org registered through 2031.</w:t>
            </w:r>
          </w:p>
        </w:tc>
        <w:tc>
          <w:tcPr>
            <w:tcW w:w="5040" w:type="dxa"/>
            <w:tcBorders>
              <w:top w:val="single" w:sz="6" w:space="0" w:color="D0D5DD"/>
              <w:left w:val="single" w:sz="6" w:space="0" w:color="D0D5DD"/>
              <w:bottom w:val="single" w:sz="6" w:space="0" w:color="D0D5DD"/>
              <w:right w:val="single" w:sz="6" w:space="0" w:color="D0D5DD"/>
            </w:tcBorders>
            <w:shd w:fill="FFFFFF" w:val="clear"/>
          </w:tcPr>
          <w:p>
            <w:pPr>
              <w:pStyle w:val="Normal"/>
              <w:keepLines/>
              <w:spacing w:lineRule="auto" w:line="252" w:before="0" w:after="40"/>
              <w:rPr>
                <w:rFonts w:ascii="Nimbus Sans" w:hAnsi="Nimbus Sans" w:eastAsia="Nimbus Sans"/>
                <w:b/>
                <w:i w:val="false"/>
                <w:color w:val="667085"/>
                <w:sz w:val="15"/>
              </w:rPr>
            </w:pPr>
            <w:r>
              <w:rPr>
                <w:rFonts w:eastAsia="Nimbus Sans"/>
                <w:b/>
                <w:i w:val="false"/>
                <w:color w:val="667085"/>
                <w:sz w:val="15"/>
              </w:rPr>
              <w:t>IS OWASP A DEAD DUCK</w:t>
            </w:r>
          </w:p>
          <w:p>
            <w:pPr>
              <w:pStyle w:val="Normal"/>
              <w:keepLines/>
              <w:spacing w:lineRule="auto" w:line="252" w:before="0" w:after="80"/>
              <w:rPr>
                <w:rFonts w:ascii="Nimbus Sans" w:hAnsi="Nimbus Sans" w:eastAsia="Nimbus Sans"/>
                <w:b/>
                <w:i w:val="false"/>
                <w:color w:val="B54708"/>
                <w:sz w:val="24"/>
              </w:rPr>
            </w:pPr>
            <w:r>
              <w:rPr>
                <w:rFonts w:eastAsia="Nimbus Sans"/>
                <w:b/>
                <w:i w:val="false"/>
                <w:color w:val="B54708"/>
                <w:sz w:val="24"/>
              </w:rPr>
              <w:t>No</w:t>
            </w:r>
          </w:p>
          <w:p>
            <w:pPr>
              <w:pStyle w:val="Normal"/>
              <w:spacing w:lineRule="auto" w:line="245" w:before="0" w:after="0"/>
              <w:rPr>
                <w:rFonts w:ascii="Nimbus Sans" w:hAnsi="Nimbus Sans" w:eastAsia="Nimbus Sans"/>
                <w:b w:val="false"/>
                <w:i w:val="false"/>
                <w:color w:val="111827"/>
                <w:sz w:val="17"/>
              </w:rPr>
            </w:pPr>
            <w:r>
              <w:rPr>
                <w:rFonts w:eastAsia="Nimbus Sans"/>
                <w:b w:val="false"/>
                <w:i w:val="false"/>
                <w:color w:val="111827"/>
                <w:sz w:val="17"/>
              </w:rPr>
              <w:t>Its operational credibility is materially impaired. Its standards and community output do not become invalid through one infrastructure incident.</w:t>
            </w:r>
          </w:p>
        </w:tc>
      </w:tr>
    </w:tbl>
    <w:p>
      <w:pPr>
        <w:pStyle w:val="Heading2"/>
        <w:rPr/>
      </w:pPr>
      <w:r>
        <w:rPr/>
        <w:t>Overall judgement</w:t>
      </w:r>
    </w:p>
    <w:tbl>
      <w:tblPr>
        <w:tblW w:w="10080" w:type="dxa"/>
        <w:jc w:val="center"/>
        <w:tblInd w:w="0" w:type="dxa"/>
        <w:tblLayout w:type="fixed"/>
        <w:tblCellMar>
          <w:top w:w="0" w:type="dxa"/>
          <w:left w:w="0" w:type="dxa"/>
          <w:bottom w:w="0" w:type="dxa"/>
          <w:right w:w="0" w:type="dxa"/>
        </w:tblCellMar>
      </w:tblPr>
      <w:tblGrid>
        <w:gridCol w:w="5040"/>
        <w:gridCol w:w="5040"/>
      </w:tblGrid>
      <w:tr>
        <w:trPr>
          <w:cantSplit/>
        </w:trPr>
        <w:tc>
          <w:tcPr>
            <w:tcW w:w="5040" w:type="dxa"/>
            <w:tcBorders/>
            <w:shd w:fill="0F766E" w:val="clear"/>
          </w:tcPr>
          <w:p>
            <w:pPr>
              <w:pStyle w:val="Normal"/>
              <w:widowControl/>
              <w:bidi w:val="0"/>
              <w:spacing w:lineRule="auto" w:line="252" w:before="0" w:after="100"/>
              <w:jc w:val="left"/>
              <w:rPr/>
            </w:pPr>
            <w:r>
              <w:rPr/>
            </w:r>
          </w:p>
        </w:tc>
        <w:tc>
          <w:tcPr>
            <w:tcW w:w="5040" w:type="dxa"/>
            <w:tcBorders/>
            <w:shd w:fill="E7F6F2" w:val="clear"/>
            <w:tcMar>
              <w:top w:w="120" w:type="dxa"/>
              <w:left w:w="170" w:type="dxa"/>
              <w:bottom w:w="120" w:type="dxa"/>
              <w:right w:w="170" w:type="dxa"/>
            </w:tcMar>
          </w:tcPr>
          <w:p>
            <w:pPr>
              <w:pStyle w:val="Normal"/>
              <w:spacing w:lineRule="auto" w:line="250" w:before="0" w:after="0"/>
              <w:rPr/>
            </w:pPr>
            <w:r>
              <w:rPr>
                <w:rFonts w:eastAsia="Nimbus Sans"/>
                <w:b/>
                <w:i w:val="false"/>
                <w:color w:val="0F766E"/>
                <w:sz w:val="16"/>
              </w:rPr>
              <w:t>FORMAL OPINION</w:t>
              <w:br/>
            </w:r>
            <w:r>
              <w:rPr>
                <w:rFonts w:eastAsia="Nimbus Sans"/>
                <w:b/>
                <w:i w:val="false"/>
                <w:color w:val="111827"/>
                <w:sz w:val="20"/>
              </w:rPr>
              <w:t>OWASP failed to preserve and monitor a production custom-domain binding, allowing unauthorised content on an official hostname. The subsequent public explanation appears technically inaccurate and unnecessarily dismissive. This is a serious, self-inflicted credibility incident; it is not evidence that OWASP as an institution or its published standards are worthless.</w:t>
            </w:r>
          </w:p>
        </w:tc>
      </w:tr>
    </w:tbl>
    <w:p>
      <w:pPr>
        <w:pStyle w:val="Heading2"/>
        <w:rPr/>
      </w:pPr>
      <w:r>
        <w:rPr/>
        <w:t>Confidence at a glance</w:t>
      </w:r>
    </w:p>
    <w:tbl>
      <w:tblPr>
        <w:tblW w:w="10080" w:type="dxa"/>
        <w:jc w:val="center"/>
        <w:tblInd w:w="0" w:type="dxa"/>
        <w:tblLayout w:type="fixed"/>
        <w:tblCellMar>
          <w:top w:w="90" w:type="dxa"/>
          <w:left w:w="110" w:type="dxa"/>
          <w:bottom w:w="90" w:type="dxa"/>
          <w:right w:w="110" w:type="dxa"/>
        </w:tblCellMar>
      </w:tblPr>
      <w:tblGrid>
        <w:gridCol w:w="3360"/>
        <w:gridCol w:w="3360"/>
        <w:gridCol w:w="3360"/>
      </w:tblGrid>
      <w:tr>
        <w:trPr>
          <w:tblHeader w:val="true"/>
          <w:cantSplit/>
        </w:trPr>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Question</w:t>
            </w:r>
          </w:p>
        </w:tc>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Confidence</w:t>
            </w:r>
          </w:p>
        </w:tc>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Basis</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7"/>
              </w:rPr>
            </w:pPr>
            <w:r>
              <w:rPr>
                <w:rFonts w:eastAsia="Nimbus Sans"/>
                <w:b/>
                <w:color w:val="111827"/>
                <w:sz w:val="17"/>
              </w:rPr>
              <w:t>Cause</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High</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Repository history, deployment configuration and GitHub guidance align</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7"/>
              </w:rPr>
            </w:pPr>
            <w:r>
              <w:rPr>
                <w:rFonts w:eastAsia="Nimbus Sans"/>
                <w:b/>
                <w:color w:val="111827"/>
                <w:sz w:val="17"/>
              </w:rPr>
              <w:t>Domain-expiry correction</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High</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The root domain remained registered; a subdomain has no separate registrar expiry</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7"/>
              </w:rPr>
            </w:pPr>
            <w:r>
              <w:rPr>
                <w:rFonts w:eastAsia="Nimbus Sans"/>
                <w:b/>
                <w:color w:val="111827"/>
                <w:sz w:val="17"/>
              </w:rPr>
              <w:t>NOX organisational attribution</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Moderate</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The takeover page named the brand and its public company identity aligns</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7"/>
              </w:rPr>
            </w:pPr>
            <w:r>
              <w:rPr>
                <w:rFonts w:eastAsia="Nimbus Sans"/>
                <w:b/>
                <w:color w:val="111827"/>
                <w:sz w:val="17"/>
              </w:rPr>
              <w:t>Individual operator</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Low</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No reliable public evidence identifies the person at the keyboard</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7"/>
              </w:rPr>
            </w:pPr>
            <w:r>
              <w:rPr>
                <w:rFonts w:eastAsia="Nimbus Sans"/>
                <w:b/>
                <w:color w:val="111827"/>
                <w:sz w:val="17"/>
              </w:rPr>
              <w:t>Deeper compromise</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Not established</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No public logs or artefacts show credential or control-plane access</w:t>
            </w:r>
          </w:p>
        </w:tc>
      </w:tr>
    </w:tbl>
    <w:p>
      <w:pPr>
        <w:pStyle w:val="Normal"/>
        <w:spacing w:before="0" w:after="0"/>
        <w:rPr/>
      </w:pPr>
      <w:r>
        <w:rPr/>
      </w:r>
    </w:p>
    <w:p>
      <w:pPr>
        <w:pStyle w:val="Normal"/>
        <w:rPr/>
      </w:pPr>
      <w:r>
        <w:rPr/>
      </w:r>
      <w:r>
        <w:br w:type="page"/>
      </w:r>
    </w:p>
    <w:p>
      <w:pPr>
        <w:pStyle w:val="Normal"/>
        <w:keepLines/>
        <w:spacing w:lineRule="auto" w:line="252" w:before="0" w:after="80"/>
        <w:rPr>
          <w:rFonts w:ascii="Nimbus Sans" w:hAnsi="Nimbus Sans" w:eastAsia="Nimbus Sans"/>
          <w:b/>
          <w:i w:val="false"/>
          <w:color w:val="0F766E"/>
          <w:sz w:val="16"/>
        </w:rPr>
      </w:pPr>
      <w:r>
        <w:rPr>
          <w:rFonts w:eastAsia="Nimbus Sans"/>
          <w:b/>
          <w:i w:val="false"/>
          <w:color w:val="0F766E"/>
          <w:sz w:val="16"/>
        </w:rPr>
        <w:t>02 / EVIDENCE TIMELINE</w:t>
      </w:r>
    </w:p>
    <w:p>
      <w:pPr>
        <w:pStyle w:val="Heading1"/>
        <w:rPr/>
      </w:pPr>
      <w:r>
        <w:rPr/>
        <w:t>Evidence timeline</w:t>
      </w:r>
    </w:p>
    <w:p>
      <w:pPr>
        <w:pStyle w:val="Normal"/>
        <w:spacing w:lineRule="auto" w:line="252" w:before="0" w:after="160"/>
        <w:rPr>
          <w:rFonts w:ascii="Nimbus Sans" w:hAnsi="Nimbus Sans" w:eastAsia="Nimbus Sans"/>
          <w:b w:val="false"/>
          <w:i w:val="false"/>
          <w:color w:val="111827"/>
          <w:sz w:val="19"/>
        </w:rPr>
      </w:pPr>
      <w:r>
        <w:rPr>
          <w:rFonts w:eastAsia="Nimbus Sans"/>
          <w:b w:val="false"/>
          <w:i w:val="false"/>
          <w:color w:val="111827"/>
          <w:sz w:val="19"/>
        </w:rPr>
        <w:t>The archive captures establish the outer window. Git history supplies the most plausible triggering event inside that window. Times are UTC.</w:t>
      </w:r>
    </w:p>
    <w:tbl>
      <w:tblPr>
        <w:tblW w:w="10080" w:type="dxa"/>
        <w:jc w:val="center"/>
        <w:tblInd w:w="0" w:type="dxa"/>
        <w:tblLayout w:type="fixed"/>
        <w:tblCellMar>
          <w:top w:w="90" w:type="dxa"/>
          <w:left w:w="110" w:type="dxa"/>
          <w:bottom w:w="90" w:type="dxa"/>
          <w:right w:w="110" w:type="dxa"/>
        </w:tblCellMar>
      </w:tblPr>
      <w:tblGrid>
        <w:gridCol w:w="2520"/>
        <w:gridCol w:w="2520"/>
        <w:gridCol w:w="2520"/>
        <w:gridCol w:w="2520"/>
      </w:tblGrid>
      <w:tr>
        <w:trPr>
          <w:tblHeader w:val="true"/>
          <w:cantSplit/>
        </w:trPr>
        <w:tc>
          <w:tcPr>
            <w:tcW w:w="252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UTC</w:t>
            </w:r>
          </w:p>
        </w:tc>
        <w:tc>
          <w:tcPr>
            <w:tcW w:w="252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Event</w:t>
            </w:r>
          </w:p>
        </w:tc>
        <w:tc>
          <w:tcPr>
            <w:tcW w:w="252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Observable significance</w:t>
            </w:r>
          </w:p>
        </w:tc>
        <w:tc>
          <w:tcPr>
            <w:tcW w:w="252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Ref</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11 Sep</w:t>
              <w:br/>
              <w:t>18:48:24</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CNAME added</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Commit ed89451 adds api-security.owasp.org to the gh-pages branch.</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[4]</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21 Sep</w:t>
              <w:br/>
              <w:t>04:43:05</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Official site captured</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Wayback shows the expected OWASP API Security site.</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[1]</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EF0C7"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21 Sep</w:t>
              <w:br/>
              <w:t>12:41:59</w:t>
            </w:r>
          </w:p>
        </w:tc>
        <w:tc>
          <w:tcPr>
            <w:tcW w:w="2520" w:type="dxa"/>
            <w:tcBorders>
              <w:top w:val="single" w:sz="6" w:space="0" w:color="D0D5DD"/>
              <w:left w:val="single" w:sz="6" w:space="0" w:color="D0D5DD"/>
              <w:bottom w:val="single" w:sz="6" w:space="0" w:color="D0D5DD"/>
              <w:right w:val="single" w:sz="6" w:space="0" w:color="D0D5DD"/>
            </w:tcBorders>
            <w:shd w:fill="FEF0C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Forced deployment</w:t>
            </w:r>
          </w:p>
        </w:tc>
        <w:tc>
          <w:tcPr>
            <w:tcW w:w="2520" w:type="dxa"/>
            <w:tcBorders>
              <w:top w:val="single" w:sz="6" w:space="0" w:color="D0D5DD"/>
              <w:left w:val="single" w:sz="6" w:space="0" w:color="D0D5DD"/>
              <w:bottom w:val="single" w:sz="6" w:space="0" w:color="D0D5DD"/>
              <w:right w:val="single" w:sz="6" w:space="0" w:color="D0D5DD"/>
            </w:tcBorders>
            <w:shd w:fill="FEF0C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Commit 9ef4ea0 replaces gh-pages with a new MkDocs deployment and no CNAME file.</w:t>
            </w:r>
          </w:p>
        </w:tc>
        <w:tc>
          <w:tcPr>
            <w:tcW w:w="2520" w:type="dxa"/>
            <w:tcBorders>
              <w:top w:val="single" w:sz="6" w:space="0" w:color="D0D5DD"/>
              <w:left w:val="single" w:sz="6" w:space="0" w:color="D0D5DD"/>
              <w:bottom w:val="single" w:sz="6" w:space="0" w:color="D0D5DD"/>
              <w:right w:val="single" w:sz="6" w:space="0" w:color="D0D5DD"/>
            </w:tcBorders>
            <w:shd w:fill="FEF0C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[2][5]</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EE4E2"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21 Sep</w:t>
              <w:br/>
              <w:t>15:20:33</w:t>
            </w:r>
          </w:p>
        </w:tc>
        <w:tc>
          <w:tcPr>
            <w:tcW w:w="2520" w:type="dxa"/>
            <w:tcBorders>
              <w:top w:val="single" w:sz="6" w:space="0" w:color="D0D5DD"/>
              <w:left w:val="single" w:sz="6" w:space="0" w:color="D0D5DD"/>
              <w:bottom w:val="single" w:sz="6" w:space="0" w:color="D0D5DD"/>
              <w:right w:val="single" w:sz="6" w:space="0" w:color="D0D5DD"/>
            </w:tcBorders>
            <w:shd w:fill="FEE4E2"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NOX page captured</w:t>
            </w:r>
          </w:p>
        </w:tc>
        <w:tc>
          <w:tcPr>
            <w:tcW w:w="2520" w:type="dxa"/>
            <w:tcBorders>
              <w:top w:val="single" w:sz="6" w:space="0" w:color="D0D5DD"/>
              <w:left w:val="single" w:sz="6" w:space="0" w:color="D0D5DD"/>
              <w:bottom w:val="single" w:sz="6" w:space="0" w:color="D0D5DD"/>
              <w:right w:val="single" w:sz="6" w:space="0" w:color="D0D5DD"/>
            </w:tcBorders>
            <w:shd w:fill="FEE4E2"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Wayback records Security Notice | NOX Offensive Security on the OWASP hostname.</w:t>
            </w:r>
          </w:p>
        </w:tc>
        <w:tc>
          <w:tcPr>
            <w:tcW w:w="2520" w:type="dxa"/>
            <w:tcBorders>
              <w:top w:val="single" w:sz="6" w:space="0" w:color="D0D5DD"/>
              <w:left w:val="single" w:sz="6" w:space="0" w:color="D0D5DD"/>
              <w:bottom w:val="single" w:sz="6" w:space="0" w:color="D0D5DD"/>
              <w:right w:val="single" w:sz="6" w:space="0" w:color="D0D5DD"/>
            </w:tcBorders>
            <w:shd w:fill="FEE4E2"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[3]</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EE4E2"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21 Sep</w:t>
              <w:br/>
              <w:t>21:25:43</w:t>
            </w:r>
          </w:p>
        </w:tc>
        <w:tc>
          <w:tcPr>
            <w:tcW w:w="2520" w:type="dxa"/>
            <w:tcBorders>
              <w:top w:val="single" w:sz="6" w:space="0" w:color="D0D5DD"/>
              <w:left w:val="single" w:sz="6" w:space="0" w:color="D0D5DD"/>
              <w:bottom w:val="single" w:sz="6" w:space="0" w:color="D0D5DD"/>
              <w:right w:val="single" w:sz="6" w:space="0" w:color="D0D5DD"/>
            </w:tcBorders>
            <w:shd w:fill="FEE4E2"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Takeover still visible</w:t>
            </w:r>
          </w:p>
        </w:tc>
        <w:tc>
          <w:tcPr>
            <w:tcW w:w="2520" w:type="dxa"/>
            <w:tcBorders>
              <w:top w:val="single" w:sz="6" w:space="0" w:color="D0D5DD"/>
              <w:left w:val="single" w:sz="6" w:space="0" w:color="D0D5DD"/>
              <w:bottom w:val="single" w:sz="6" w:space="0" w:color="D0D5DD"/>
              <w:right w:val="single" w:sz="6" w:space="0" w:color="D0D5DD"/>
            </w:tcBorders>
            <w:shd w:fill="FEE4E2"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A later archive capture still records the NOX page.</w:t>
            </w:r>
          </w:p>
        </w:tc>
        <w:tc>
          <w:tcPr>
            <w:tcW w:w="2520" w:type="dxa"/>
            <w:tcBorders>
              <w:top w:val="single" w:sz="6" w:space="0" w:color="D0D5DD"/>
              <w:left w:val="single" w:sz="6" w:space="0" w:color="D0D5DD"/>
              <w:bottom w:val="single" w:sz="6" w:space="0" w:color="D0D5DD"/>
              <w:right w:val="single" w:sz="6" w:space="0" w:color="D0D5DD"/>
            </w:tcBorders>
            <w:shd w:fill="FEE4E2"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[6]</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E7F6F2"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22 Sep</w:t>
              <w:br/>
              <w:t>14:25:04</w:t>
            </w:r>
          </w:p>
        </w:tc>
        <w:tc>
          <w:tcPr>
            <w:tcW w:w="2520" w:type="dxa"/>
            <w:tcBorders>
              <w:top w:val="single" w:sz="6" w:space="0" w:color="D0D5DD"/>
              <w:left w:val="single" w:sz="6" w:space="0" w:color="D0D5DD"/>
              <w:bottom w:val="single" w:sz="6" w:space="0" w:color="D0D5DD"/>
              <w:right w:val="single" w:sz="6" w:space="0" w:color="D0D5DD"/>
            </w:tcBorders>
            <w:shd w:fill="E7F6F2"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CNAME restored</w:t>
            </w:r>
          </w:p>
        </w:tc>
        <w:tc>
          <w:tcPr>
            <w:tcW w:w="2520" w:type="dxa"/>
            <w:tcBorders>
              <w:top w:val="single" w:sz="6" w:space="0" w:color="D0D5DD"/>
              <w:left w:val="single" w:sz="6" w:space="0" w:color="D0D5DD"/>
              <w:bottom w:val="single" w:sz="6" w:space="0" w:color="D0D5DD"/>
              <w:right w:val="single" w:sz="6" w:space="0" w:color="D0D5DD"/>
            </w:tcBorders>
            <w:shd w:fill="E7F6F2"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Commit 3d6e4df re-adds api-security.owasp.org to gh-pages.</w:t>
            </w:r>
          </w:p>
        </w:tc>
        <w:tc>
          <w:tcPr>
            <w:tcW w:w="2520" w:type="dxa"/>
            <w:tcBorders>
              <w:top w:val="single" w:sz="6" w:space="0" w:color="D0D5DD"/>
              <w:left w:val="single" w:sz="6" w:space="0" w:color="D0D5DD"/>
              <w:bottom w:val="single" w:sz="6" w:space="0" w:color="D0D5DD"/>
              <w:right w:val="single" w:sz="6" w:space="0" w:color="D0D5DD"/>
            </w:tcBorders>
            <w:shd w:fill="E7F6F2"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[7]</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22 Sep</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Official content restored</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The hostname again serves the OWASP API Security project.</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[8]</w:t>
            </w:r>
          </w:p>
        </w:tc>
      </w:tr>
    </w:tbl>
    <w:p>
      <w:pPr>
        <w:pStyle w:val="Normal"/>
        <w:spacing w:before="0" w:after="0"/>
        <w:rPr/>
      </w:pPr>
      <w:r>
        <w:rPr/>
      </w:r>
    </w:p>
    <w:p>
      <w:pPr>
        <w:pStyle w:val="Heading2"/>
        <w:rPr/>
      </w:pPr>
      <w:r>
        <w:rPr/>
        <w:t>What the timestamps prove</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The takeover occurred after the normal 04:43:05 capture and before the 15:20:33 capture, an outer window of 10 hours 37 minutes 28 seconds.</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The 12:41:59 deployment narrows the likely onset to a maximum of 2 hours 38 minutes 34 seconds before the first takeover capture.</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The exact claim time is not public. An archive capture proves content was visible by that time, not when it first appeared.</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The 14:25:04 repair commit proves the binding file was restored; it does not alone prove the exact minute every resolver and edge served the repaired site.</w:t>
      </w:r>
    </w:p>
    <w:tbl>
      <w:tblPr>
        <w:tblW w:w="10080" w:type="dxa"/>
        <w:jc w:val="center"/>
        <w:tblInd w:w="0" w:type="dxa"/>
        <w:tblLayout w:type="fixed"/>
        <w:tblCellMar>
          <w:top w:w="0" w:type="dxa"/>
          <w:left w:w="0" w:type="dxa"/>
          <w:bottom w:w="0" w:type="dxa"/>
          <w:right w:w="0" w:type="dxa"/>
        </w:tblCellMar>
      </w:tblPr>
      <w:tblGrid>
        <w:gridCol w:w="5040"/>
        <w:gridCol w:w="5040"/>
      </w:tblGrid>
      <w:tr>
        <w:trPr>
          <w:cantSplit/>
        </w:trPr>
        <w:tc>
          <w:tcPr>
            <w:tcW w:w="5040" w:type="dxa"/>
            <w:tcBorders/>
            <w:shd w:fill="175CD3" w:val="clear"/>
          </w:tcPr>
          <w:p>
            <w:pPr>
              <w:pStyle w:val="Normal"/>
              <w:widowControl/>
              <w:bidi w:val="0"/>
              <w:spacing w:lineRule="auto" w:line="252" w:before="0" w:after="100"/>
              <w:jc w:val="left"/>
              <w:rPr/>
            </w:pPr>
            <w:r>
              <w:rPr/>
            </w:r>
          </w:p>
        </w:tc>
        <w:tc>
          <w:tcPr>
            <w:tcW w:w="5040" w:type="dxa"/>
            <w:tcBorders/>
            <w:shd w:fill="EFF8FF" w:val="clear"/>
            <w:tcMar>
              <w:top w:w="120" w:type="dxa"/>
              <w:left w:w="170" w:type="dxa"/>
              <w:bottom w:w="120" w:type="dxa"/>
              <w:right w:w="170" w:type="dxa"/>
            </w:tcMar>
          </w:tcPr>
          <w:p>
            <w:pPr>
              <w:pStyle w:val="Normal"/>
              <w:spacing w:lineRule="auto" w:line="250" w:before="0" w:after="0"/>
              <w:rPr/>
            </w:pPr>
            <w:r>
              <w:rPr>
                <w:rFonts w:eastAsia="Nimbus Sans"/>
                <w:b/>
                <w:i w:val="false"/>
                <w:color w:val="175CD3"/>
                <w:sz w:val="16"/>
              </w:rPr>
              <w:t>CAUSATION ASSESSMENT</w:t>
              <w:br/>
            </w:r>
            <w:r>
              <w:rPr>
                <w:rFonts w:eastAsia="Nimbus Sans"/>
                <w:b/>
                <w:i w:val="false"/>
                <w:color w:val="111827"/>
                <w:sz w:val="20"/>
              </w:rPr>
              <w:t>The temporal sequence, the missing CNAME in the forced deployment, the later third-party content and the repair by re-adding the same CNAME form a coherent causal chain. No DNS-zone change is required to explain the event.</w:t>
            </w:r>
          </w:p>
        </w:tc>
      </w:tr>
    </w:tbl>
    <w:p>
      <w:pPr>
        <w:pStyle w:val="Normal"/>
        <w:rPr/>
      </w:pPr>
      <w:r>
        <w:rPr/>
      </w:r>
      <w:r>
        <w:br w:type="page"/>
      </w:r>
    </w:p>
    <w:p>
      <w:pPr>
        <w:pStyle w:val="Normal"/>
        <w:keepLines/>
        <w:spacing w:lineRule="auto" w:line="252" w:before="0" w:after="80"/>
        <w:rPr>
          <w:rFonts w:ascii="Nimbus Sans" w:hAnsi="Nimbus Sans" w:eastAsia="Nimbus Sans"/>
          <w:b/>
          <w:i w:val="false"/>
          <w:color w:val="0F766E"/>
          <w:sz w:val="16"/>
        </w:rPr>
      </w:pPr>
      <w:r>
        <w:rPr>
          <w:rFonts w:eastAsia="Nimbus Sans"/>
          <w:b/>
          <w:i w:val="false"/>
          <w:color w:val="0F766E"/>
          <w:sz w:val="16"/>
        </w:rPr>
        <w:t>03 / TECHNICAL CAUSE</w:t>
      </w:r>
    </w:p>
    <w:p>
      <w:pPr>
        <w:pStyle w:val="Heading1"/>
        <w:rPr/>
      </w:pPr>
      <w:r>
        <w:rPr/>
        <w:t>A GitHub Pages binding failure</w:t>
      </w:r>
    </w:p>
    <w:p>
      <w:pPr>
        <w:pStyle w:val="Normal"/>
        <w:spacing w:lineRule="auto" w:line="252" w:before="0" w:after="120"/>
        <w:rPr>
          <w:rFonts w:ascii="Nimbus Sans" w:hAnsi="Nimbus Sans" w:eastAsia="Nimbus Sans"/>
          <w:b w:val="false"/>
          <w:i w:val="false"/>
          <w:color w:val="111827"/>
          <w:sz w:val="19"/>
        </w:rPr>
      </w:pPr>
      <w:r>
        <w:rPr>
          <w:rFonts w:eastAsia="Nimbus Sans"/>
          <w:b w:val="false"/>
          <w:i w:val="false"/>
          <w:color w:val="111827"/>
          <w:sz w:val="19"/>
        </w:rPr>
        <w:t>A custom domain on GitHub Pages is a relationship between DNS and a Pages site. Removing that relationship while leaving the hostname routed to the platform can create a claimable resource. GitHub specifically warns that static-site generators which force-push can overwrite the CNAME file used for the custom domain. [9]</w:t>
      </w:r>
    </w:p>
    <w:tbl>
      <w:tblPr>
        <w:tblW w:w="10080" w:type="dxa"/>
        <w:jc w:val="center"/>
        <w:tblInd w:w="0" w:type="dxa"/>
        <w:tblLayout w:type="fixed"/>
        <w:tblCellMar>
          <w:top w:w="120" w:type="dxa"/>
          <w:left w:w="120" w:type="dxa"/>
          <w:bottom w:w="120" w:type="dxa"/>
          <w:right w:w="120" w:type="dxa"/>
        </w:tblCellMar>
      </w:tblPr>
      <w:tblGrid>
        <w:gridCol w:w="2520"/>
        <w:gridCol w:w="2520"/>
        <w:gridCol w:w="2520"/>
        <w:gridCol w:w="2520"/>
      </w:tblGrid>
      <w:tr>
        <w:trPr>
          <w:cantSplit/>
        </w:trPr>
        <w:tc>
          <w:tcPr>
            <w:tcW w:w="2520" w:type="dxa"/>
            <w:tcBorders/>
            <w:shd w:fill="17243A" w:val="clear"/>
          </w:tcPr>
          <w:p>
            <w:pPr>
              <w:pStyle w:val="Normal"/>
              <w:spacing w:lineRule="auto" w:line="252" w:before="0" w:after="60"/>
              <w:rPr>
                <w:rFonts w:ascii="Nimbus Sans" w:hAnsi="Nimbus Sans" w:eastAsia="Nimbus Sans"/>
                <w:b/>
                <w:i w:val="false"/>
                <w:color w:val="E7F6F2"/>
                <w:sz w:val="16"/>
              </w:rPr>
            </w:pPr>
            <w:r>
              <w:rPr>
                <w:rFonts w:eastAsia="Nimbus Sans"/>
                <w:b/>
                <w:i w:val="false"/>
                <w:color w:val="E7F6F2"/>
                <w:sz w:val="16"/>
              </w:rPr>
              <w:t>01</w:t>
            </w:r>
          </w:p>
          <w:p>
            <w:pPr>
              <w:pStyle w:val="Normal"/>
              <w:keepLines/>
              <w:spacing w:lineRule="auto" w:line="252" w:before="0" w:after="80"/>
              <w:rPr>
                <w:rFonts w:ascii="Nimbus Sans" w:hAnsi="Nimbus Sans" w:eastAsia="Nimbus Sans"/>
                <w:b/>
                <w:i w:val="false"/>
                <w:color w:val="FFFFFF"/>
                <w:sz w:val="18"/>
              </w:rPr>
            </w:pPr>
            <w:r>
              <w:rPr>
                <w:rFonts w:eastAsia="Nimbus Sans"/>
                <w:b/>
                <w:i w:val="false"/>
                <w:color w:val="FFFFFF"/>
                <w:sz w:val="18"/>
              </w:rPr>
              <w:t>DNS routes hostname</w:t>
            </w:r>
          </w:p>
          <w:p>
            <w:pPr>
              <w:pStyle w:val="Normal"/>
              <w:spacing w:lineRule="auto" w:line="240" w:before="0" w:after="0"/>
              <w:rPr>
                <w:rFonts w:ascii="Nimbus Sans" w:hAnsi="Nimbus Sans" w:eastAsia="Nimbus Sans"/>
                <w:b w:val="false"/>
                <w:i w:val="false"/>
                <w:color w:val="FFFFFF"/>
                <w:sz w:val="15"/>
              </w:rPr>
            </w:pPr>
            <w:r>
              <w:rPr>
                <w:rFonts w:eastAsia="Nimbus Sans"/>
                <w:b w:val="false"/>
                <w:i w:val="false"/>
                <w:color w:val="FFFFFF"/>
                <w:sz w:val="15"/>
              </w:rPr>
              <w:t>OWASP hostname reaches GitHub Pages</w:t>
            </w:r>
          </w:p>
        </w:tc>
        <w:tc>
          <w:tcPr>
            <w:tcW w:w="2520" w:type="dxa"/>
            <w:tcBorders/>
            <w:shd w:fill="17243A" w:val="clear"/>
          </w:tcPr>
          <w:p>
            <w:pPr>
              <w:pStyle w:val="Normal"/>
              <w:spacing w:lineRule="auto" w:line="252" w:before="0" w:after="60"/>
              <w:rPr>
                <w:rFonts w:ascii="Nimbus Sans" w:hAnsi="Nimbus Sans" w:eastAsia="Nimbus Sans"/>
                <w:b/>
                <w:i w:val="false"/>
                <w:color w:val="E7F6F2"/>
                <w:sz w:val="16"/>
              </w:rPr>
            </w:pPr>
            <w:r>
              <w:rPr>
                <w:rFonts w:eastAsia="Nimbus Sans"/>
                <w:b/>
                <w:i w:val="false"/>
                <w:color w:val="E7F6F2"/>
                <w:sz w:val="16"/>
              </w:rPr>
              <w:t>02</w:t>
            </w:r>
          </w:p>
          <w:p>
            <w:pPr>
              <w:pStyle w:val="Normal"/>
              <w:keepLines/>
              <w:spacing w:lineRule="auto" w:line="252" w:before="0" w:after="80"/>
              <w:rPr>
                <w:rFonts w:ascii="Nimbus Sans" w:hAnsi="Nimbus Sans" w:eastAsia="Nimbus Sans"/>
                <w:b/>
                <w:i w:val="false"/>
                <w:color w:val="FFFFFF"/>
                <w:sz w:val="18"/>
              </w:rPr>
            </w:pPr>
            <w:r>
              <w:rPr>
                <w:rFonts w:eastAsia="Nimbus Sans"/>
                <w:b/>
                <w:i w:val="false"/>
                <w:color w:val="FFFFFF"/>
                <w:sz w:val="18"/>
              </w:rPr>
              <w:t>CNAME binds site</w:t>
            </w:r>
          </w:p>
          <w:p>
            <w:pPr>
              <w:pStyle w:val="Normal"/>
              <w:spacing w:lineRule="auto" w:line="240" w:before="0" w:after="0"/>
              <w:rPr>
                <w:rFonts w:ascii="Nimbus Sans" w:hAnsi="Nimbus Sans" w:eastAsia="Nimbus Sans"/>
                <w:b w:val="false"/>
                <w:i w:val="false"/>
                <w:color w:val="FFFFFF"/>
                <w:sz w:val="15"/>
              </w:rPr>
            </w:pPr>
            <w:r>
              <w:rPr>
                <w:rFonts w:eastAsia="Nimbus Sans"/>
                <w:b w:val="false"/>
                <w:i w:val="false"/>
                <w:color w:val="FFFFFF"/>
                <w:sz w:val="15"/>
              </w:rPr>
              <w:t>gh-pages declares the custom domain</w:t>
            </w:r>
          </w:p>
        </w:tc>
        <w:tc>
          <w:tcPr>
            <w:tcW w:w="2520" w:type="dxa"/>
            <w:tcBorders/>
            <w:shd w:fill="B42318" w:val="clear"/>
          </w:tcPr>
          <w:p>
            <w:pPr>
              <w:pStyle w:val="Normal"/>
              <w:spacing w:lineRule="auto" w:line="252" w:before="0" w:after="60"/>
              <w:rPr>
                <w:rFonts w:ascii="Nimbus Sans" w:hAnsi="Nimbus Sans" w:eastAsia="Nimbus Sans"/>
                <w:b/>
                <w:i w:val="false"/>
                <w:color w:val="FEE4E2"/>
                <w:sz w:val="16"/>
              </w:rPr>
            </w:pPr>
            <w:r>
              <w:rPr>
                <w:rFonts w:eastAsia="Nimbus Sans"/>
                <w:b/>
                <w:i w:val="false"/>
                <w:color w:val="FEE4E2"/>
                <w:sz w:val="16"/>
              </w:rPr>
              <w:t>03</w:t>
            </w:r>
          </w:p>
          <w:p>
            <w:pPr>
              <w:pStyle w:val="Normal"/>
              <w:keepLines/>
              <w:spacing w:lineRule="auto" w:line="252" w:before="0" w:after="80"/>
              <w:rPr>
                <w:rFonts w:ascii="Nimbus Sans" w:hAnsi="Nimbus Sans" w:eastAsia="Nimbus Sans"/>
                <w:b/>
                <w:i w:val="false"/>
                <w:color w:val="FFFFFF"/>
                <w:sz w:val="18"/>
              </w:rPr>
            </w:pPr>
            <w:r>
              <w:rPr>
                <w:rFonts w:eastAsia="Nimbus Sans"/>
                <w:b/>
                <w:i w:val="false"/>
                <w:color w:val="FFFFFF"/>
                <w:sz w:val="18"/>
              </w:rPr>
              <w:t>Force deploy drops file</w:t>
            </w:r>
          </w:p>
          <w:p>
            <w:pPr>
              <w:pStyle w:val="Normal"/>
              <w:spacing w:lineRule="auto" w:line="240" w:before="0" w:after="0"/>
              <w:rPr>
                <w:rFonts w:ascii="Nimbus Sans" w:hAnsi="Nimbus Sans" w:eastAsia="Nimbus Sans"/>
                <w:b w:val="false"/>
                <w:i w:val="false"/>
                <w:color w:val="FFFFFF"/>
                <w:sz w:val="15"/>
              </w:rPr>
            </w:pPr>
            <w:r>
              <w:rPr>
                <w:rFonts w:eastAsia="Nimbus Sans"/>
                <w:b w:val="false"/>
                <w:i w:val="false"/>
                <w:color w:val="FFFFFF"/>
                <w:sz w:val="15"/>
              </w:rPr>
              <w:t>New orphan history omits the binding</w:t>
            </w:r>
          </w:p>
        </w:tc>
        <w:tc>
          <w:tcPr>
            <w:tcW w:w="2520" w:type="dxa"/>
            <w:tcBorders/>
            <w:shd w:fill="17243A" w:val="clear"/>
          </w:tcPr>
          <w:p>
            <w:pPr>
              <w:pStyle w:val="Normal"/>
              <w:spacing w:lineRule="auto" w:line="252" w:before="0" w:after="60"/>
              <w:rPr>
                <w:rFonts w:ascii="Nimbus Sans" w:hAnsi="Nimbus Sans" w:eastAsia="Nimbus Sans"/>
                <w:b/>
                <w:i w:val="false"/>
                <w:color w:val="E7F6F2"/>
                <w:sz w:val="16"/>
              </w:rPr>
            </w:pPr>
            <w:r>
              <w:rPr>
                <w:rFonts w:eastAsia="Nimbus Sans"/>
                <w:b/>
                <w:i w:val="false"/>
                <w:color w:val="E7F6F2"/>
                <w:sz w:val="16"/>
              </w:rPr>
              <w:t>04</w:t>
            </w:r>
          </w:p>
          <w:p>
            <w:pPr>
              <w:pStyle w:val="Normal"/>
              <w:keepLines/>
              <w:spacing w:lineRule="auto" w:line="252" w:before="0" w:after="80"/>
              <w:rPr>
                <w:rFonts w:ascii="Nimbus Sans" w:hAnsi="Nimbus Sans" w:eastAsia="Nimbus Sans"/>
                <w:b/>
                <w:i w:val="false"/>
                <w:color w:val="FFFFFF"/>
                <w:sz w:val="18"/>
              </w:rPr>
            </w:pPr>
            <w:r>
              <w:rPr>
                <w:rFonts w:eastAsia="Nimbus Sans"/>
                <w:b/>
                <w:i w:val="false"/>
                <w:color w:val="FFFFFF"/>
                <w:sz w:val="18"/>
              </w:rPr>
              <w:t>Third party claims name</w:t>
            </w:r>
          </w:p>
          <w:p>
            <w:pPr>
              <w:pStyle w:val="Normal"/>
              <w:spacing w:lineRule="auto" w:line="240" w:before="0" w:after="0"/>
              <w:rPr>
                <w:rFonts w:ascii="Nimbus Sans" w:hAnsi="Nimbus Sans" w:eastAsia="Nimbus Sans"/>
                <w:b w:val="false"/>
                <w:i w:val="false"/>
                <w:color w:val="FFFFFF"/>
                <w:sz w:val="15"/>
              </w:rPr>
            </w:pPr>
            <w:r>
              <w:rPr>
                <w:rFonts w:eastAsia="Nimbus Sans"/>
                <w:b w:val="false"/>
                <w:i w:val="false"/>
                <w:color w:val="FFFFFF"/>
                <w:sz w:val="15"/>
              </w:rPr>
              <w:t>Unauthorised content is served</w:t>
            </w:r>
          </w:p>
        </w:tc>
      </w:tr>
    </w:tbl>
    <w:p>
      <w:pPr>
        <w:pStyle w:val="Heading2"/>
        <w:rPr/>
      </w:pPr>
      <w:r>
        <w:rPr/>
        <w:t>What was and was not compromised</w:t>
      </w:r>
    </w:p>
    <w:tbl>
      <w:tblPr>
        <w:tblW w:w="10080" w:type="dxa"/>
        <w:jc w:val="center"/>
        <w:tblInd w:w="0" w:type="dxa"/>
        <w:tblLayout w:type="fixed"/>
        <w:tblCellMar>
          <w:top w:w="90" w:type="dxa"/>
          <w:left w:w="110" w:type="dxa"/>
          <w:bottom w:w="90" w:type="dxa"/>
          <w:right w:w="110" w:type="dxa"/>
        </w:tblCellMar>
      </w:tblPr>
      <w:tblGrid>
        <w:gridCol w:w="3360"/>
        <w:gridCol w:w="3360"/>
        <w:gridCol w:w="3360"/>
      </w:tblGrid>
      <w:tr>
        <w:trPr>
          <w:tblHeader w:val="true"/>
          <w:cantSplit/>
        </w:trPr>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Status</w:t>
            </w:r>
          </w:p>
        </w:tc>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Control or asset</w:t>
            </w:r>
          </w:p>
        </w:tc>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Assessment</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Established</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Control of content served at api-security.owasp.org</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The NOX page appeared under the official OWASP hostname.</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Established</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Integrity and trust of the web property</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Users following an OWASP route could reach third-party content.</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Not established</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Registrar account or owasp.org registration</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WHOIS remained consistent with an active registration.</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Not established</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Cloudflare or authoritative DNS account</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No public record shows zone or nameserver changes.</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Not established</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OWASP or GitHub account credentials</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The repository history is consistent with normal automation plus a dangling binding.</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Not established</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Server-side data, source code or user records</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No exfiltration or modification evidence has been published.</w:t>
            </w:r>
          </w:p>
        </w:tc>
      </w:tr>
    </w:tbl>
    <w:p>
      <w:pPr>
        <w:pStyle w:val="Normal"/>
        <w:spacing w:before="0" w:after="0"/>
        <w:rPr/>
      </w:pPr>
      <w:r>
        <w:rPr/>
      </w:r>
    </w:p>
    <w:p>
      <w:pPr>
        <w:pStyle w:val="Heading2"/>
        <w:rPr/>
      </w:pPr>
      <w:r>
        <w:rPr/>
        <w:t>Why domain expired is the wrong description</w:t>
      </w:r>
    </w:p>
    <w:p>
      <w:pPr>
        <w:pStyle w:val="Normal"/>
        <w:spacing w:lineRule="auto" w:line="252" w:before="0" w:after="120"/>
        <w:rPr>
          <w:rFonts w:ascii="Nimbus Sans" w:hAnsi="Nimbus Sans" w:eastAsia="Nimbus Sans"/>
          <w:b w:val="false"/>
          <w:i w:val="false"/>
          <w:color w:val="111827"/>
          <w:sz w:val="19"/>
        </w:rPr>
      </w:pPr>
      <w:r>
        <w:rPr>
          <w:rFonts w:eastAsia="Nimbus Sans"/>
          <w:b w:val="false"/>
          <w:i w:val="false"/>
          <w:color w:val="111827"/>
          <w:sz w:val="19"/>
        </w:rPr>
        <w:t>api-security.owasp.org is a label beneath owasp.org; it has no independent registry expiry. The supplied WHOIS record showed owasp.org created in 2001 and registered through 21 September 2031, with GoDaddy as registrar and Cloudflare nameservers. [10] The object that disappeared was the GitHub Pages custom-domain association represented by CNAME in the publication branch.</w:t>
      </w:r>
    </w:p>
    <w:tbl>
      <w:tblPr>
        <w:tblW w:w="10080" w:type="dxa"/>
        <w:jc w:val="center"/>
        <w:tblInd w:w="0" w:type="dxa"/>
        <w:tblLayout w:type="fixed"/>
        <w:tblCellMar>
          <w:top w:w="0" w:type="dxa"/>
          <w:left w:w="0" w:type="dxa"/>
          <w:bottom w:w="0" w:type="dxa"/>
          <w:right w:w="0" w:type="dxa"/>
        </w:tblCellMar>
      </w:tblPr>
      <w:tblGrid>
        <w:gridCol w:w="5040"/>
        <w:gridCol w:w="5040"/>
      </w:tblGrid>
      <w:tr>
        <w:trPr>
          <w:cantSplit/>
        </w:trPr>
        <w:tc>
          <w:tcPr>
            <w:tcW w:w="5040" w:type="dxa"/>
            <w:tcBorders/>
            <w:shd w:fill="B54708" w:val="clear"/>
          </w:tcPr>
          <w:p>
            <w:pPr>
              <w:pStyle w:val="Normal"/>
              <w:widowControl/>
              <w:bidi w:val="0"/>
              <w:spacing w:lineRule="auto" w:line="252" w:before="0" w:after="100"/>
              <w:jc w:val="left"/>
              <w:rPr/>
            </w:pPr>
            <w:r>
              <w:rPr/>
            </w:r>
          </w:p>
        </w:tc>
        <w:tc>
          <w:tcPr>
            <w:tcW w:w="5040" w:type="dxa"/>
            <w:tcBorders/>
            <w:shd w:fill="FEF0C7" w:val="clear"/>
            <w:tcMar>
              <w:top w:w="120" w:type="dxa"/>
              <w:left w:w="170" w:type="dxa"/>
              <w:bottom w:w="120" w:type="dxa"/>
              <w:right w:w="170" w:type="dxa"/>
            </w:tcMar>
          </w:tcPr>
          <w:p>
            <w:pPr>
              <w:pStyle w:val="Normal"/>
              <w:spacing w:lineRule="auto" w:line="250" w:before="0" w:after="0"/>
              <w:rPr/>
            </w:pPr>
            <w:r>
              <w:rPr>
                <w:rFonts w:eastAsia="Nimbus Sans"/>
                <w:b/>
                <w:i w:val="false"/>
                <w:color w:val="B54708"/>
                <w:sz w:val="16"/>
              </w:rPr>
              <w:t>PRECISE LANGUAGE</w:t>
              <w:br/>
            </w:r>
            <w:r>
              <w:rPr>
                <w:rFonts w:eastAsia="Nimbus Sans"/>
                <w:b/>
                <w:i w:val="false"/>
                <w:color w:val="111827"/>
                <w:sz w:val="20"/>
              </w:rPr>
              <w:t>DNS-adjacent subdomain takeover is accurate. DNS hijack and expired domain are not supported by the public evidence.</w:t>
            </w:r>
          </w:p>
        </w:tc>
      </w:tr>
    </w:tbl>
    <w:p>
      <w:pPr>
        <w:pStyle w:val="Normal"/>
        <w:rPr/>
      </w:pPr>
      <w:r>
        <w:rPr/>
      </w:r>
      <w:r>
        <w:br w:type="page"/>
      </w:r>
    </w:p>
    <w:p>
      <w:pPr>
        <w:pStyle w:val="Normal"/>
        <w:keepLines/>
        <w:spacing w:lineRule="auto" w:line="252" w:before="0" w:after="80"/>
        <w:rPr>
          <w:rFonts w:ascii="Nimbus Sans" w:hAnsi="Nimbus Sans" w:eastAsia="Nimbus Sans"/>
          <w:b/>
          <w:i w:val="false"/>
          <w:color w:val="0F766E"/>
          <w:sz w:val="16"/>
        </w:rPr>
      </w:pPr>
      <w:r>
        <w:rPr>
          <w:rFonts w:eastAsia="Nimbus Sans"/>
          <w:b/>
          <w:i w:val="false"/>
          <w:color w:val="0F766E"/>
          <w:sz w:val="16"/>
        </w:rPr>
        <w:t>04 / SCOPE AND RISK</w:t>
      </w:r>
    </w:p>
    <w:p>
      <w:pPr>
        <w:pStyle w:val="Heading1"/>
        <w:rPr/>
      </w:pPr>
      <w:r>
        <w:rPr/>
        <w:t>Observed impact and potential exposure</w:t>
      </w:r>
    </w:p>
    <w:p>
      <w:pPr>
        <w:pStyle w:val="Normal"/>
        <w:spacing w:lineRule="auto" w:line="252" w:before="0" w:after="120"/>
        <w:rPr>
          <w:rFonts w:ascii="Nimbus Sans" w:hAnsi="Nimbus Sans" w:eastAsia="Nimbus Sans"/>
          <w:b w:val="false"/>
          <w:i w:val="false"/>
          <w:color w:val="111827"/>
          <w:sz w:val="19"/>
        </w:rPr>
      </w:pPr>
      <w:r>
        <w:rPr>
          <w:rFonts w:eastAsia="Nimbus Sans"/>
          <w:b w:val="false"/>
          <w:i w:val="false"/>
          <w:color w:val="111827"/>
          <w:sz w:val="19"/>
        </w:rPr>
        <w:t>The observed outcome was unauthorised content on a trusted OWASP hostname. The potential impact was wider. OWASP's own takeover guidance lists phishing, parent-domain cookies, wildcard CSP or CORS trust, OAuth redirects and certificate issuance among possible consequences. [11] Those are risk scenarios, not findings in this incident.</w:t>
      </w:r>
    </w:p>
    <w:tbl>
      <w:tblPr>
        <w:tblW w:w="10080" w:type="dxa"/>
        <w:jc w:val="center"/>
        <w:tblInd w:w="0" w:type="dxa"/>
        <w:tblLayout w:type="fixed"/>
        <w:tblCellMar>
          <w:top w:w="90" w:type="dxa"/>
          <w:left w:w="110" w:type="dxa"/>
          <w:bottom w:w="90" w:type="dxa"/>
          <w:right w:w="110" w:type="dxa"/>
        </w:tblCellMar>
      </w:tblPr>
      <w:tblGrid>
        <w:gridCol w:w="2520"/>
        <w:gridCol w:w="2520"/>
        <w:gridCol w:w="2520"/>
        <w:gridCol w:w="2520"/>
      </w:tblGrid>
      <w:tr>
        <w:trPr>
          <w:tblHeader w:val="true"/>
          <w:cantSplit/>
        </w:trPr>
        <w:tc>
          <w:tcPr>
            <w:tcW w:w="252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Type</w:t>
            </w:r>
          </w:p>
        </w:tc>
        <w:tc>
          <w:tcPr>
            <w:tcW w:w="252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Risk</w:t>
            </w:r>
          </w:p>
        </w:tc>
        <w:tc>
          <w:tcPr>
            <w:tcW w:w="252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Evidence</w:t>
            </w:r>
          </w:p>
        </w:tc>
        <w:tc>
          <w:tcPr>
            <w:tcW w:w="252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Comment</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Observed</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Unauthorised content and branding</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Confirmed</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The hostname displayed a NOX security notice.</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Observed</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Reputational and trust harm</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Confirmed</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A security foundation's API-security property was visibly controlled by a third party.</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Potential</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Phishing under a trusted hostname</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Not observed</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A claimed subdomain can host convincing content.</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Potential</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Parent-scoped cookie exposure</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Not assessed</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Depends on OWASP cookie scope and browser behaviour.</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Potential</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CSP, CORS or OAuth trust abuse</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Not assessed</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Depends on downstream allowlists and application configuration.</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Potential</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Search, link and cache poisoning</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Not assessed</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Depends on crawl, caching and referral activity during the window.</w:t>
            </w:r>
          </w:p>
        </w:tc>
      </w:tr>
    </w:tbl>
    <w:p>
      <w:pPr>
        <w:pStyle w:val="Normal"/>
        <w:spacing w:before="0" w:after="0"/>
        <w:rPr/>
      </w:pPr>
      <w:r>
        <w:rPr/>
      </w:r>
    </w:p>
    <w:p>
      <w:pPr>
        <w:pStyle w:val="Heading2"/>
        <w:rPr/>
      </w:pPr>
      <w:r>
        <w:rPr/>
        <w:t>Severity view</w:t>
      </w:r>
    </w:p>
    <w:tbl>
      <w:tblPr>
        <w:tblW w:w="10080" w:type="dxa"/>
        <w:jc w:val="center"/>
        <w:tblInd w:w="0" w:type="dxa"/>
        <w:tblLayout w:type="fixed"/>
        <w:tblCellMar>
          <w:top w:w="90" w:type="dxa"/>
          <w:left w:w="110" w:type="dxa"/>
          <w:bottom w:w="90" w:type="dxa"/>
          <w:right w:w="110" w:type="dxa"/>
        </w:tblCellMar>
      </w:tblPr>
      <w:tblGrid>
        <w:gridCol w:w="3360"/>
        <w:gridCol w:w="3360"/>
        <w:gridCol w:w="3360"/>
      </w:tblGrid>
      <w:tr>
        <w:trPr>
          <w:tblHeader w:val="true"/>
          <w:cantSplit/>
        </w:trPr>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Dimension</w:t>
            </w:r>
          </w:p>
        </w:tc>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Rating</w:t>
            </w:r>
          </w:p>
        </w:tc>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Reason</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Control failure</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7"/>
              </w:rPr>
            </w:pPr>
            <w:r>
              <w:rPr>
                <w:rFonts w:eastAsia="Nimbus Sans"/>
                <w:b w:val="false"/>
                <w:color w:val="111827"/>
                <w:sz w:val="17"/>
              </w:rPr>
              <w:t>High</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A production hostname became externally claimable.</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Observed technical harm</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7"/>
              </w:rPr>
            </w:pPr>
            <w:r>
              <w:rPr>
                <w:rFonts w:eastAsia="Nimbus Sans"/>
                <w:b w:val="false"/>
                <w:color w:val="111827"/>
                <w:sz w:val="17"/>
              </w:rPr>
              <w:t>Moderate</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Defacement and loss of content integrity are confirmed; data theft is not.</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Potential blast radius</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7"/>
              </w:rPr>
            </w:pPr>
            <w:r>
              <w:rPr>
                <w:rFonts w:eastAsia="Nimbus Sans"/>
                <w:b w:val="false"/>
                <w:color w:val="111827"/>
                <w:sz w:val="17"/>
              </w:rPr>
              <w:t>High</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Trusted-origin abuse could have exceeded the visible notice.</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Evidence confidence</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7"/>
              </w:rPr>
            </w:pPr>
            <w:r>
              <w:rPr>
                <w:rFonts w:eastAsia="Nimbus Sans"/>
                <w:b w:val="false"/>
                <w:color w:val="111827"/>
                <w:sz w:val="17"/>
              </w:rPr>
              <w:t>High on takeover</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Low to moderate on unobserved downstream consequences.</w:t>
            </w:r>
          </w:p>
        </w:tc>
      </w:tr>
    </w:tbl>
    <w:p>
      <w:pPr>
        <w:pStyle w:val="Normal"/>
        <w:spacing w:before="0" w:after="0"/>
        <w:rPr/>
      </w:pPr>
      <w:r>
        <w:rPr/>
      </w:r>
    </w:p>
    <w:p>
      <w:pPr>
        <w:pStyle w:val="Heading2"/>
        <w:rPr/>
      </w:pPr>
      <w:r>
        <w:rPr/>
        <w:t>Residual recurrence condition</w:t>
      </w:r>
    </w:p>
    <w:p>
      <w:pPr>
        <w:pStyle w:val="Normal"/>
        <w:spacing w:lineRule="auto" w:line="252" w:before="0" w:after="120"/>
        <w:rPr>
          <w:rFonts w:ascii="Nimbus Sans" w:hAnsi="Nimbus Sans" w:eastAsia="Nimbus Sans"/>
          <w:b w:val="false"/>
          <w:i w:val="false"/>
          <w:color w:val="111827"/>
          <w:sz w:val="19"/>
        </w:rPr>
      </w:pPr>
      <w:r>
        <w:rPr>
          <w:rFonts w:eastAsia="Nimbus Sans"/>
          <w:b w:val="false"/>
          <w:i w:val="false"/>
          <w:color w:val="111827"/>
          <w:sz w:val="19"/>
        </w:rPr>
        <w:t>As observed on 22 September, the public workflow still invoked mkdocs gh-deploy --force and the source branch did not contain a durable CNAME input. [5] A manual repair on gh-pages can therefore be erased by a future forced deployment. Hidden GitHub domain verification or changed repository settings could reduce claimability, yet they do not remove this deployment defect or prevent an outage.</w:t>
      </w:r>
    </w:p>
    <w:tbl>
      <w:tblPr>
        <w:tblW w:w="10080" w:type="dxa"/>
        <w:jc w:val="center"/>
        <w:tblInd w:w="0" w:type="dxa"/>
        <w:tblLayout w:type="fixed"/>
        <w:tblCellMar>
          <w:top w:w="0" w:type="dxa"/>
          <w:left w:w="0" w:type="dxa"/>
          <w:bottom w:w="0" w:type="dxa"/>
          <w:right w:w="0" w:type="dxa"/>
        </w:tblCellMar>
      </w:tblPr>
      <w:tblGrid>
        <w:gridCol w:w="5040"/>
        <w:gridCol w:w="5040"/>
      </w:tblGrid>
      <w:tr>
        <w:trPr>
          <w:cantSplit/>
        </w:trPr>
        <w:tc>
          <w:tcPr>
            <w:tcW w:w="5040" w:type="dxa"/>
            <w:tcBorders/>
            <w:shd w:fill="B42318" w:val="clear"/>
          </w:tcPr>
          <w:p>
            <w:pPr>
              <w:pStyle w:val="Normal"/>
              <w:widowControl/>
              <w:bidi w:val="0"/>
              <w:spacing w:lineRule="auto" w:line="252" w:before="0" w:after="100"/>
              <w:jc w:val="left"/>
              <w:rPr/>
            </w:pPr>
            <w:r>
              <w:rPr/>
            </w:r>
          </w:p>
        </w:tc>
        <w:tc>
          <w:tcPr>
            <w:tcW w:w="5040" w:type="dxa"/>
            <w:tcBorders/>
            <w:shd w:fill="FEE4E2" w:val="clear"/>
            <w:tcMar>
              <w:top w:w="120" w:type="dxa"/>
              <w:left w:w="170" w:type="dxa"/>
              <w:bottom w:w="120" w:type="dxa"/>
              <w:right w:w="170" w:type="dxa"/>
            </w:tcMar>
          </w:tcPr>
          <w:p>
            <w:pPr>
              <w:pStyle w:val="Normal"/>
              <w:spacing w:lineRule="auto" w:line="250" w:before="0" w:after="0"/>
              <w:rPr/>
            </w:pPr>
            <w:r>
              <w:rPr>
                <w:rFonts w:eastAsia="Nimbus Sans"/>
                <w:b/>
                <w:i w:val="false"/>
                <w:color w:val="B42318"/>
                <w:sz w:val="16"/>
              </w:rPr>
              <w:t>REQUIRED CONCLUSION</w:t>
              <w:br/>
            </w:r>
            <w:r>
              <w:rPr>
                <w:rFonts w:eastAsia="Nimbus Sans"/>
                <w:b/>
                <w:i w:val="false"/>
                <w:color w:val="111827"/>
                <w:sz w:val="20"/>
              </w:rPr>
              <w:t>A repair is not a root-cause fix until the deployment source and workflow preserve the custom-domain binding automatically.</w:t>
            </w:r>
          </w:p>
        </w:tc>
      </w:tr>
    </w:tbl>
    <w:p>
      <w:pPr>
        <w:pStyle w:val="Normal"/>
        <w:rPr/>
      </w:pPr>
      <w:r>
        <w:rPr/>
      </w:r>
      <w:r>
        <w:br w:type="page"/>
      </w:r>
    </w:p>
    <w:p>
      <w:pPr>
        <w:pStyle w:val="Normal"/>
        <w:keepLines/>
        <w:spacing w:lineRule="auto" w:line="252" w:before="0" w:after="80"/>
        <w:rPr>
          <w:rFonts w:ascii="Nimbus Sans" w:hAnsi="Nimbus Sans" w:eastAsia="Nimbus Sans"/>
          <w:b/>
          <w:i w:val="false"/>
          <w:color w:val="0F766E"/>
          <w:sz w:val="16"/>
        </w:rPr>
      </w:pPr>
      <w:r>
        <w:rPr>
          <w:rFonts w:eastAsia="Nimbus Sans"/>
          <w:b/>
          <w:i w:val="false"/>
          <w:color w:val="0F766E"/>
          <w:sz w:val="16"/>
        </w:rPr>
        <w:t>05 / ATTRIBUTION AND CONDUCT</w:t>
      </w:r>
    </w:p>
    <w:p>
      <w:pPr>
        <w:pStyle w:val="Heading1"/>
        <w:rPr/>
      </w:pPr>
      <w:r>
        <w:rPr/>
        <w:t>Who publicly stands behind NOX</w:t>
      </w:r>
    </w:p>
    <w:p>
      <w:pPr>
        <w:pStyle w:val="Normal"/>
        <w:spacing w:lineRule="auto" w:line="252" w:before="0" w:after="120"/>
        <w:rPr>
          <w:rFonts w:ascii="Nimbus Sans" w:hAnsi="Nimbus Sans" w:eastAsia="Nimbus Sans"/>
          <w:b w:val="false"/>
          <w:i w:val="false"/>
          <w:color w:val="111827"/>
          <w:sz w:val="19"/>
        </w:rPr>
      </w:pPr>
      <w:r>
        <w:rPr>
          <w:rFonts w:eastAsia="Nimbus Sans"/>
          <w:b w:val="false"/>
          <w:i w:val="false"/>
          <w:color w:val="111827"/>
          <w:sz w:val="19"/>
        </w:rPr>
        <w:t>The domain registrant is not publicly named in the available registration data. The website, company profile and Brazilian company-data records do, however, present a consistent organisational identity.</w:t>
      </w:r>
    </w:p>
    <w:tbl>
      <w:tblPr>
        <w:tblW w:w="10080" w:type="dxa"/>
        <w:jc w:val="center"/>
        <w:tblInd w:w="0" w:type="dxa"/>
        <w:tblLayout w:type="fixed"/>
        <w:tblCellMar>
          <w:top w:w="90" w:type="dxa"/>
          <w:left w:w="110" w:type="dxa"/>
          <w:bottom w:w="90" w:type="dxa"/>
          <w:right w:w="110" w:type="dxa"/>
        </w:tblCellMar>
      </w:tblPr>
      <w:tblGrid>
        <w:gridCol w:w="3360"/>
        <w:gridCol w:w="3360"/>
        <w:gridCol w:w="3360"/>
      </w:tblGrid>
      <w:tr>
        <w:trPr>
          <w:tblHeader w:val="true"/>
          <w:cantSplit/>
        </w:trPr>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Item</w:t>
            </w:r>
          </w:p>
        </w:tc>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Public identity</w:t>
            </w:r>
          </w:p>
        </w:tc>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Qualification</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Brand</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NOX Offensive Security</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The website and takeover page used the same name and visual identity. [3][12]</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Website claim</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CNPJ 66.736.374/0001-88</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The site presents São Paulo, Brazil and security consulting services. [12]</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Registered entity</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Adrian da Silva &amp; Julio e Cia Ltda</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Public company-data services map the CNPJ to the NOX trading name. [13]</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Listed administrators</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Adrian Povoas da Silva and Julio Eduardo Silva</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Public company-data entry; no inference is made about incident operation. [13]</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Company age</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Opened 12 May 2026</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Registry-derived listing and LinkedIn both describe a 2026 foundation. [13][14]</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Domain ownership</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Not conclusively public</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Privacy-protected registration does not independently identify the registrant.</w:t>
            </w:r>
          </w:p>
        </w:tc>
      </w:tr>
    </w:tbl>
    <w:p>
      <w:pPr>
        <w:pStyle w:val="Normal"/>
        <w:spacing w:before="0" w:after="0"/>
        <w:rPr/>
      </w:pPr>
      <w:r>
        <w:rPr/>
      </w:r>
    </w:p>
    <w:p>
      <w:pPr>
        <w:pStyle w:val="Heading2"/>
        <w:rPr/>
      </w:pPr>
      <w:r>
        <w:rPr/>
        <w:t>Attribution boundary</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The archived takeover page expressly identified NOX and linked the NOX website. This is strong evidence of brand-level attribution.</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An indexed reply in the public X discussion described the act as a temporary protective measure. [15] The public index did not establish that reply's author as the registered company, so it is not used as attribution evidence.</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No reliable public evidence identifies the individual who configured the claim or published the page.</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The Reddit comment's reference to “Angus” is unexplained. It should not be connected to ownership or operation without evidence.</w:t>
      </w:r>
    </w:p>
    <w:p>
      <w:pPr>
        <w:pStyle w:val="Heading2"/>
        <w:rPr/>
      </w:pPr>
      <w:r>
        <w:rPr/>
        <w:t>Ethics and legal caution</w:t>
      </w:r>
    </w:p>
    <w:p>
      <w:pPr>
        <w:pStyle w:val="Normal"/>
        <w:spacing w:lineRule="auto" w:line="252" w:before="0" w:after="120"/>
        <w:rPr>
          <w:rFonts w:ascii="Nimbus Sans" w:hAnsi="Nimbus Sans" w:eastAsia="Nimbus Sans"/>
          <w:b w:val="false"/>
          <w:i w:val="false"/>
          <w:color w:val="111827"/>
          <w:sz w:val="19"/>
        </w:rPr>
      </w:pPr>
      <w:r>
        <w:rPr>
          <w:rFonts w:eastAsia="Nimbus Sans"/>
          <w:b w:val="false"/>
          <w:i w:val="false"/>
          <w:color w:val="111827"/>
          <w:sz w:val="19"/>
        </w:rPr>
        <w:t>If the takeover occurred without prior authorisation, claiming a third party's production hostname and replacing its content is inconsistent with conventional responsible disclosure and with an authorised penetration test. OWASP's Executive Director stated that no earlier report could be found through the organisation's normal channels; that statement cannot be independently verified from public data. [16]</w:t>
      </w:r>
    </w:p>
    <w:p>
      <w:pPr>
        <w:pStyle w:val="Normal"/>
        <w:spacing w:lineRule="auto" w:line="252" w:before="0" w:after="120"/>
        <w:rPr>
          <w:rFonts w:ascii="Nimbus Sans" w:hAnsi="Nimbus Sans" w:eastAsia="Nimbus Sans"/>
          <w:b w:val="false"/>
          <w:i w:val="false"/>
          <w:color w:val="111827"/>
          <w:sz w:val="19"/>
        </w:rPr>
      </w:pPr>
      <w:r>
        <w:rPr>
          <w:rFonts w:eastAsia="Nimbus Sans"/>
          <w:b w:val="false"/>
          <w:i w:val="false"/>
          <w:color w:val="111827"/>
          <w:sz w:val="19"/>
        </w:rPr>
        <w:t>Brazil's Criminal Code Article 154-A addresses specified unauthorised invasion of another person's computing device, including intent and consequence elements. [17] Whether a GitHub Pages domain claim satisfies every legal element is fact-sensitive and requires Brazilian counsel, platform logs and evidence of intent. This report therefore expresses no conclusion of criminality.</w:t>
      </w:r>
    </w:p>
    <w:tbl>
      <w:tblPr>
        <w:tblW w:w="10080" w:type="dxa"/>
        <w:jc w:val="center"/>
        <w:tblInd w:w="0" w:type="dxa"/>
        <w:tblLayout w:type="fixed"/>
        <w:tblCellMar>
          <w:top w:w="0" w:type="dxa"/>
          <w:left w:w="0" w:type="dxa"/>
          <w:bottom w:w="0" w:type="dxa"/>
          <w:right w:w="0" w:type="dxa"/>
        </w:tblCellMar>
      </w:tblPr>
      <w:tblGrid>
        <w:gridCol w:w="5040"/>
        <w:gridCol w:w="5040"/>
      </w:tblGrid>
      <w:tr>
        <w:trPr>
          <w:cantSplit/>
        </w:trPr>
        <w:tc>
          <w:tcPr>
            <w:tcW w:w="5040" w:type="dxa"/>
            <w:tcBorders/>
            <w:shd w:fill="175CD3" w:val="clear"/>
          </w:tcPr>
          <w:p>
            <w:pPr>
              <w:pStyle w:val="Normal"/>
              <w:widowControl/>
              <w:bidi w:val="0"/>
              <w:spacing w:lineRule="auto" w:line="252" w:before="0" w:after="100"/>
              <w:jc w:val="left"/>
              <w:rPr/>
            </w:pPr>
            <w:r>
              <w:rPr/>
            </w:r>
          </w:p>
        </w:tc>
        <w:tc>
          <w:tcPr>
            <w:tcW w:w="5040" w:type="dxa"/>
            <w:tcBorders/>
            <w:shd w:fill="EFF8FF" w:val="clear"/>
            <w:tcMar>
              <w:top w:w="120" w:type="dxa"/>
              <w:left w:w="170" w:type="dxa"/>
              <w:bottom w:w="120" w:type="dxa"/>
              <w:right w:w="170" w:type="dxa"/>
            </w:tcMar>
          </w:tcPr>
          <w:p>
            <w:pPr>
              <w:pStyle w:val="Normal"/>
              <w:spacing w:lineRule="auto" w:line="250" w:before="0" w:after="0"/>
              <w:rPr/>
            </w:pPr>
            <w:r>
              <w:rPr>
                <w:rFonts w:eastAsia="Nimbus Sans"/>
                <w:b/>
                <w:i w:val="false"/>
                <w:color w:val="175CD3"/>
                <w:sz w:val="16"/>
              </w:rPr>
              <w:t>ATTRIBUTION CONCLUSION</w:t>
              <w:br/>
            </w:r>
            <w:r>
              <w:rPr>
                <w:rFonts w:eastAsia="Nimbus Sans"/>
                <w:b/>
                <w:i w:val="false"/>
                <w:color w:val="111827"/>
                <w:sz w:val="20"/>
              </w:rPr>
              <w:t>The takeover page attributed itself to the NOX brand and used its associated company identity. That supports provisional organisational attribution; it does not establish which person acted or determine legal liability.</w:t>
            </w:r>
          </w:p>
        </w:tc>
      </w:tr>
    </w:tbl>
    <w:p>
      <w:pPr>
        <w:pStyle w:val="Normal"/>
        <w:rPr/>
      </w:pPr>
      <w:r>
        <w:rPr/>
      </w:r>
      <w:r>
        <w:br w:type="page"/>
      </w:r>
    </w:p>
    <w:p>
      <w:pPr>
        <w:pStyle w:val="Normal"/>
        <w:keepLines/>
        <w:spacing w:lineRule="auto" w:line="252" w:before="0" w:after="80"/>
        <w:rPr>
          <w:rFonts w:ascii="Nimbus Sans" w:hAnsi="Nimbus Sans" w:eastAsia="Nimbus Sans"/>
          <w:b/>
          <w:i w:val="false"/>
          <w:color w:val="0F766E"/>
          <w:sz w:val="16"/>
        </w:rPr>
      </w:pPr>
      <w:r>
        <w:rPr>
          <w:rFonts w:eastAsia="Nimbus Sans"/>
          <w:b/>
          <w:i w:val="false"/>
          <w:color w:val="0F766E"/>
          <w:sz w:val="16"/>
        </w:rPr>
        <w:t>06 / RESPONSE QUALITY</w:t>
      </w:r>
    </w:p>
    <w:p>
      <w:pPr>
        <w:pStyle w:val="Heading1"/>
        <w:rPr/>
      </w:pPr>
      <w:r>
        <w:rPr/>
        <w:t>Assessment of the Reddit statement</w:t>
      </w:r>
    </w:p>
    <w:p>
      <w:pPr>
        <w:pStyle w:val="Normal"/>
        <w:spacing w:lineRule="auto" w:line="252" w:before="0" w:after="120"/>
        <w:rPr>
          <w:rFonts w:ascii="Nimbus Sans" w:hAnsi="Nimbus Sans" w:eastAsia="Nimbus Sans"/>
          <w:b w:val="false"/>
          <w:i w:val="false"/>
          <w:color w:val="111827"/>
          <w:sz w:val="19"/>
        </w:rPr>
      </w:pPr>
      <w:r>
        <w:rPr>
          <w:rFonts w:eastAsia="Nimbus Sans"/>
          <w:b w:val="false"/>
          <w:i w:val="false"/>
          <w:color w:val="111827"/>
          <w:sz w:val="19"/>
        </w:rPr>
        <w:t>The Reddit account u/vanderaj strongly aligns with Andrew van der Stock's established public handle, OWASP email identity and current role as Executive Director. [18][19] The comment is therefore apparently authentic. Reddit does not provide cryptographic proof of authorship, so the strongest defensible wording remains “apparently authentic”.</w:t>
      </w:r>
    </w:p>
    <w:tbl>
      <w:tblPr>
        <w:tblW w:w="10080" w:type="dxa"/>
        <w:jc w:val="center"/>
        <w:tblInd w:w="0" w:type="dxa"/>
        <w:tblLayout w:type="fixed"/>
        <w:tblCellMar>
          <w:top w:w="90" w:type="dxa"/>
          <w:left w:w="110" w:type="dxa"/>
          <w:bottom w:w="90" w:type="dxa"/>
          <w:right w:w="110" w:type="dxa"/>
        </w:tblCellMar>
      </w:tblPr>
      <w:tblGrid>
        <w:gridCol w:w="3360"/>
        <w:gridCol w:w="3360"/>
        <w:gridCol w:w="3360"/>
      </w:tblGrid>
      <w:tr>
        <w:trPr>
          <w:tblHeader w:val="true"/>
          <w:cantSplit/>
        </w:trPr>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Public claim</w:t>
            </w:r>
          </w:p>
        </w:tc>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Assessment</w:t>
            </w:r>
          </w:p>
        </w:tc>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Reason</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w:t>
            </w:r>
            <w:r>
              <w:rPr>
                <w:rFonts w:eastAsia="Nimbus Sans"/>
                <w:b/>
                <w:color w:val="111827"/>
                <w:sz w:val="16"/>
              </w:rPr>
              <w:t>It was DNS”</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Partly true, imprecise</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DNS was part of the routing path. The observable failure was the GitHub Pages binding, not a demonstrated DNS-zone compromise.</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w:t>
            </w:r>
            <w:r>
              <w:rPr>
                <w:rFonts w:eastAsia="Nimbus Sans"/>
                <w:b/>
                <w:color w:val="111827"/>
                <w:sz w:val="16"/>
              </w:rPr>
              <w:t>A domain expired”</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Contradicted</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No registered domain shown here expired. The CNAME binding disappeared; owasp.org remained registered through 2031.</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w:t>
            </w:r>
            <w:r>
              <w:rPr>
                <w:rFonts w:eastAsia="Nimbus Sans"/>
                <w:b/>
                <w:color w:val="111827"/>
                <w:sz w:val="16"/>
              </w:rPr>
              <w:t>We were HACKED! Nope”</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Misleading</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No deeper intrusion is shown. The official hostname was nevertheless compromised and served unauthorised content.</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No prior report</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Unverified internal claim</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Only OWASP can establish what its channels received. The absence of public proof does not disprove the statement.</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Move domains to one provider</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Relevant, incomplete</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Consolidation may improve ownership. It does not fix a workflow that removes its binding file.</w:t>
            </w:r>
          </w:p>
        </w:tc>
      </w:tr>
    </w:tbl>
    <w:p>
      <w:pPr>
        <w:pStyle w:val="Normal"/>
        <w:spacing w:before="0" w:after="0"/>
        <w:rPr/>
      </w:pPr>
      <w:r>
        <w:rPr/>
      </w:r>
    </w:p>
    <w:p>
      <w:pPr>
        <w:pStyle w:val="Heading2"/>
        <w:rPr/>
      </w:pPr>
      <w:r>
        <w:rPr/>
        <w:t>Why the tone matters</w:t>
      </w:r>
    </w:p>
    <w:p>
      <w:pPr>
        <w:pStyle w:val="Normal"/>
        <w:spacing w:lineRule="auto" w:line="252" w:before="0" w:after="120"/>
        <w:rPr>
          <w:rFonts w:ascii="Nimbus Sans" w:hAnsi="Nimbus Sans" w:eastAsia="Nimbus Sans"/>
          <w:b w:val="false"/>
          <w:i w:val="false"/>
          <w:color w:val="111827"/>
          <w:sz w:val="19"/>
        </w:rPr>
      </w:pPr>
      <w:r>
        <w:rPr>
          <w:rFonts w:eastAsia="Nimbus Sans"/>
          <w:b w:val="false"/>
          <w:i w:val="false"/>
          <w:color w:val="111827"/>
          <w:sz w:val="19"/>
        </w:rPr>
        <w:t>Phrases such as “Oh noes” and the categorical denial may feel proportionate to the absence of a server breach. From an incident-management perspective, they collapse scope, root cause and impact into a rhetorical argument. For a standards body, this creates a second failure: the response becomes easier to challenge than the technical event.</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Acknowledge the unauthorised control of the hostname without overstating deeper compromise.</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Name the failed control and the exact restoration step.</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State what has been checked and what remains unknown.</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Correct the “expired domain” description and publish durable prevention measures.</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Address the researcher's conduct separately from OWASP's own control failure.</w:t>
      </w:r>
    </w:p>
    <w:p>
      <w:pPr>
        <w:pStyle w:val="Heading2"/>
        <w:rPr/>
      </w:pPr>
      <w:r>
        <w:rPr/>
        <w:t>A defensible replacement statement</w:t>
      </w:r>
    </w:p>
    <w:tbl>
      <w:tblPr>
        <w:tblW w:w="10080" w:type="dxa"/>
        <w:jc w:val="center"/>
        <w:tblInd w:w="0" w:type="dxa"/>
        <w:tblLayout w:type="fixed"/>
        <w:tblCellMar>
          <w:top w:w="0" w:type="dxa"/>
          <w:left w:w="0" w:type="dxa"/>
          <w:bottom w:w="0" w:type="dxa"/>
          <w:right w:w="0" w:type="dxa"/>
        </w:tblCellMar>
      </w:tblPr>
      <w:tblGrid>
        <w:gridCol w:w="5040"/>
        <w:gridCol w:w="5040"/>
      </w:tblGrid>
      <w:tr>
        <w:trPr>
          <w:cantSplit/>
        </w:trPr>
        <w:tc>
          <w:tcPr>
            <w:tcW w:w="5040" w:type="dxa"/>
            <w:tcBorders/>
            <w:shd w:fill="0F766E" w:val="clear"/>
          </w:tcPr>
          <w:p>
            <w:pPr>
              <w:pStyle w:val="Normal"/>
              <w:widowControl/>
              <w:bidi w:val="0"/>
              <w:spacing w:lineRule="auto" w:line="252" w:before="0" w:after="100"/>
              <w:jc w:val="left"/>
              <w:rPr/>
            </w:pPr>
            <w:r>
              <w:rPr/>
            </w:r>
          </w:p>
        </w:tc>
        <w:tc>
          <w:tcPr>
            <w:tcW w:w="5040" w:type="dxa"/>
            <w:tcBorders/>
            <w:shd w:fill="17243A" w:val="clear"/>
            <w:tcMar>
              <w:top w:w="120" w:type="dxa"/>
              <w:left w:w="170" w:type="dxa"/>
              <w:bottom w:w="120" w:type="dxa"/>
              <w:right w:w="170" w:type="dxa"/>
            </w:tcMar>
          </w:tcPr>
          <w:p>
            <w:pPr>
              <w:pStyle w:val="Normal"/>
              <w:spacing w:lineRule="auto" w:line="250" w:before="0" w:after="0"/>
              <w:rPr/>
            </w:pPr>
            <w:r>
              <w:rPr>
                <w:rFonts w:eastAsia="Nimbus Sans"/>
                <w:b/>
                <w:i w:val="false"/>
                <w:color w:val="0F766E"/>
                <w:sz w:val="16"/>
              </w:rPr>
              <w:t>SUGGESTED WORDING</w:t>
              <w:br/>
            </w:r>
            <w:r>
              <w:rPr>
                <w:rFonts w:eastAsia="Nimbus Sans"/>
                <w:b/>
                <w:i w:val="false"/>
                <w:color w:val="FFFFFF"/>
                <w:sz w:val="20"/>
              </w:rPr>
              <w:t>On 21 September, api-security.owasp.org served unauthorised third-party content after an automated GitHub Pages deployment removed the site's custom-domain binding. We have no evidence that registrar, DNS-provider, GitHub-account or server credentials were compromised. We restored the binding, are fixing the deployment source, and are reviewing logs and trust relationships for wider impact. We will publish the verified timeline, impact and recurrence controls.</w:t>
            </w:r>
          </w:p>
        </w:tc>
      </w:tr>
    </w:tbl>
    <w:p>
      <w:pPr>
        <w:pStyle w:val="Normal"/>
        <w:rPr/>
      </w:pPr>
      <w:r>
        <w:rPr/>
      </w:r>
      <w:r>
        <w:br w:type="page"/>
      </w:r>
    </w:p>
    <w:p>
      <w:pPr>
        <w:pStyle w:val="Normal"/>
        <w:keepLines/>
        <w:spacing w:lineRule="auto" w:line="252" w:before="0" w:after="80"/>
        <w:rPr>
          <w:rFonts w:ascii="Nimbus Sans" w:hAnsi="Nimbus Sans" w:eastAsia="Nimbus Sans"/>
          <w:b/>
          <w:i w:val="false"/>
          <w:color w:val="0F766E"/>
          <w:sz w:val="16"/>
        </w:rPr>
      </w:pPr>
      <w:r>
        <w:rPr>
          <w:rFonts w:eastAsia="Nimbus Sans"/>
          <w:b/>
          <w:i w:val="false"/>
          <w:color w:val="0F766E"/>
          <w:sz w:val="16"/>
        </w:rPr>
        <w:t>07 / INSTITUTIONAL CREDIBILITY</w:t>
      </w:r>
    </w:p>
    <w:p>
      <w:pPr>
        <w:pStyle w:val="Heading1"/>
        <w:rPr/>
      </w:pPr>
      <w:r>
        <w:rPr/>
        <w:t>Credibility impaired not dead</w:t>
      </w:r>
    </w:p>
    <w:p>
      <w:pPr>
        <w:pStyle w:val="Normal"/>
        <w:spacing w:lineRule="auto" w:line="252" w:before="0" w:after="120"/>
        <w:rPr>
          <w:rFonts w:ascii="Nimbus Sans" w:hAnsi="Nimbus Sans" w:eastAsia="Nimbus Sans"/>
          <w:b w:val="false"/>
          <w:i w:val="false"/>
          <w:color w:val="111827"/>
          <w:sz w:val="19"/>
        </w:rPr>
      </w:pPr>
      <w:r>
        <w:rPr>
          <w:rFonts w:eastAsia="Nimbus Sans"/>
          <w:b w:val="false"/>
          <w:i w:val="false"/>
          <w:color w:val="111827"/>
          <w:sz w:val="19"/>
        </w:rPr>
        <w:t>Calling OWASP a “dead duck” captures understandable frustration, yet it overreaches. The evidence justifies a severe criticism of operational governance and public incident communication. It does not logically invalidate the OWASP Top 10, ASVS, WSTG, cheat sheets or volunteer contributions on unrelated subjects.</w:t>
      </w:r>
    </w:p>
    <w:tbl>
      <w:tblPr>
        <w:tblW w:w="10080" w:type="dxa"/>
        <w:jc w:val="center"/>
        <w:tblInd w:w="0" w:type="dxa"/>
        <w:tblLayout w:type="fixed"/>
        <w:tblCellMar>
          <w:top w:w="150" w:type="dxa"/>
          <w:left w:w="160" w:type="dxa"/>
          <w:bottom w:w="140" w:type="dxa"/>
          <w:right w:w="160" w:type="dxa"/>
        </w:tblCellMar>
      </w:tblPr>
      <w:tblGrid>
        <w:gridCol w:w="5040"/>
        <w:gridCol w:w="5040"/>
      </w:tblGrid>
      <w:tr>
        <w:trPr>
          <w:cantSplit/>
        </w:trPr>
        <w:tc>
          <w:tcPr>
            <w:tcW w:w="5040" w:type="dxa"/>
            <w:tcBorders>
              <w:top w:val="single" w:sz="6" w:space="0" w:color="D0D5DD"/>
              <w:left w:val="single" w:sz="6" w:space="0" w:color="D0D5DD"/>
              <w:bottom w:val="single" w:sz="6" w:space="0" w:color="D0D5DD"/>
              <w:right w:val="single" w:sz="6" w:space="0" w:color="D0D5DD"/>
            </w:tcBorders>
            <w:shd w:fill="FEE4E2" w:val="clear"/>
          </w:tcPr>
          <w:p>
            <w:pPr>
              <w:pStyle w:val="Normal"/>
              <w:rPr>
                <w:rFonts w:ascii="Nimbus Sans" w:hAnsi="Nimbus Sans" w:eastAsia="Nimbus Sans"/>
                <w:b/>
                <w:i w:val="false"/>
                <w:color w:val="B42318"/>
                <w:sz w:val="16"/>
              </w:rPr>
            </w:pPr>
            <w:r>
              <w:rPr>
                <w:rFonts w:eastAsia="Nimbus Sans"/>
                <w:b/>
                <w:i w:val="false"/>
                <w:color w:val="B42318"/>
                <w:sz w:val="16"/>
              </w:rPr>
              <w:t>WHY CONFIDENCE FELL</w:t>
            </w:r>
          </w:p>
          <w:p>
            <w:pPr>
              <w:pStyle w:val="ListBullet"/>
              <w:numPr>
                <w:ilvl w:val="0"/>
                <w:numId w:val="2"/>
              </w:numPr>
              <w:spacing w:lineRule="auto" w:line="240" w:before="0" w:after="40"/>
              <w:contextualSpacing/>
              <w:rPr>
                <w:rFonts w:ascii="Nimbus Sans" w:hAnsi="Nimbus Sans" w:eastAsia="Nimbus Sans"/>
                <w:b w:val="false"/>
                <w:i w:val="false"/>
                <w:color w:val="111827"/>
                <w:sz w:val="16"/>
              </w:rPr>
            </w:pPr>
            <w:r>
              <w:rPr>
                <w:rFonts w:eastAsia="Nimbus Sans"/>
                <w:b w:val="false"/>
                <w:i w:val="false"/>
                <w:color w:val="111827"/>
                <w:sz w:val="16"/>
              </w:rPr>
              <w:t>Own guidance describes exactly this class of failure</w:t>
            </w:r>
          </w:p>
          <w:p>
            <w:pPr>
              <w:pStyle w:val="ListBullet"/>
              <w:numPr>
                <w:ilvl w:val="0"/>
                <w:numId w:val="2"/>
              </w:numPr>
              <w:spacing w:lineRule="auto" w:line="240" w:before="0" w:after="40"/>
              <w:contextualSpacing/>
              <w:rPr>
                <w:rFonts w:ascii="Nimbus Sans" w:hAnsi="Nimbus Sans" w:eastAsia="Nimbus Sans"/>
                <w:b w:val="false"/>
                <w:i w:val="false"/>
                <w:color w:val="111827"/>
                <w:sz w:val="16"/>
              </w:rPr>
            </w:pPr>
            <w:r>
              <w:rPr>
                <w:rFonts w:eastAsia="Nimbus Sans"/>
                <w:b w:val="false"/>
                <w:i w:val="false"/>
                <w:color w:val="111827"/>
                <w:sz w:val="16"/>
              </w:rPr>
              <w:t>Active OWASP routing sent users to the affected hostname</w:t>
            </w:r>
          </w:p>
          <w:p>
            <w:pPr>
              <w:pStyle w:val="ListBullet"/>
              <w:numPr>
                <w:ilvl w:val="0"/>
                <w:numId w:val="2"/>
              </w:numPr>
              <w:spacing w:lineRule="auto" w:line="240" w:before="0" w:after="40"/>
              <w:contextualSpacing/>
              <w:rPr>
                <w:rFonts w:ascii="Nimbus Sans" w:hAnsi="Nimbus Sans" w:eastAsia="Nimbus Sans"/>
                <w:b w:val="false"/>
                <w:i w:val="false"/>
                <w:color w:val="111827"/>
                <w:sz w:val="16"/>
              </w:rPr>
            </w:pPr>
            <w:r>
              <w:rPr>
                <w:rFonts w:eastAsia="Nimbus Sans"/>
                <w:b w:val="false"/>
                <w:i w:val="false"/>
                <w:color w:val="111827"/>
                <w:sz w:val="16"/>
              </w:rPr>
              <w:t>Deployment automation appears to have created the gap</w:t>
            </w:r>
          </w:p>
          <w:p>
            <w:pPr>
              <w:pStyle w:val="ListBullet"/>
              <w:numPr>
                <w:ilvl w:val="0"/>
                <w:numId w:val="2"/>
              </w:numPr>
              <w:spacing w:lineRule="auto" w:line="240" w:before="0" w:after="40"/>
              <w:contextualSpacing/>
              <w:rPr>
                <w:rFonts w:ascii="Nimbus Sans" w:hAnsi="Nimbus Sans" w:eastAsia="Nimbus Sans"/>
                <w:b w:val="false"/>
                <w:i w:val="false"/>
                <w:color w:val="111827"/>
                <w:sz w:val="16"/>
              </w:rPr>
            </w:pPr>
            <w:r>
              <w:rPr>
                <w:rFonts w:eastAsia="Nimbus Sans"/>
                <w:b w:val="false"/>
                <w:i w:val="false"/>
                <w:color w:val="111827"/>
                <w:sz w:val="16"/>
              </w:rPr>
              <w:t>Monitoring did not prevent a multi-hour public exposure</w:t>
            </w:r>
          </w:p>
          <w:p>
            <w:pPr>
              <w:pStyle w:val="ListBullet"/>
              <w:numPr>
                <w:ilvl w:val="0"/>
                <w:numId w:val="2"/>
              </w:numPr>
              <w:spacing w:lineRule="auto" w:line="240" w:before="0" w:after="40"/>
              <w:contextualSpacing/>
              <w:rPr>
                <w:rFonts w:ascii="Nimbus Sans" w:hAnsi="Nimbus Sans" w:eastAsia="Nimbus Sans"/>
                <w:b w:val="false"/>
                <w:i w:val="false"/>
                <w:color w:val="111827"/>
                <w:sz w:val="16"/>
              </w:rPr>
            </w:pPr>
            <w:r>
              <w:rPr>
                <w:rFonts w:eastAsia="Nimbus Sans"/>
                <w:b w:val="false"/>
                <w:i w:val="false"/>
                <w:color w:val="111827"/>
                <w:sz w:val="16"/>
              </w:rPr>
              <w:t>The response publicly minimised and misnamed the cause</w:t>
            </w:r>
          </w:p>
        </w:tc>
        <w:tc>
          <w:tcPr>
            <w:tcW w:w="5040" w:type="dxa"/>
            <w:tcBorders>
              <w:top w:val="single" w:sz="6" w:space="0" w:color="D0D5DD"/>
              <w:left w:val="single" w:sz="6" w:space="0" w:color="D0D5DD"/>
              <w:bottom w:val="single" w:sz="6" w:space="0" w:color="D0D5DD"/>
              <w:right w:val="single" w:sz="6" w:space="0" w:color="D0D5DD"/>
            </w:tcBorders>
            <w:shd w:fill="E7F6F2" w:val="clear"/>
          </w:tcPr>
          <w:p>
            <w:pPr>
              <w:pStyle w:val="Normal"/>
              <w:rPr>
                <w:rFonts w:ascii="Nimbus Sans" w:hAnsi="Nimbus Sans" w:eastAsia="Nimbus Sans"/>
                <w:b/>
                <w:i w:val="false"/>
                <w:color w:val="0F766E"/>
                <w:sz w:val="16"/>
              </w:rPr>
            </w:pPr>
            <w:r>
              <w:rPr>
                <w:rFonts w:eastAsia="Nimbus Sans"/>
                <w:b/>
                <w:i w:val="false"/>
                <w:color w:val="0F766E"/>
                <w:sz w:val="16"/>
              </w:rPr>
              <w:t>WHY THIS IS RECOVERABLE</w:t>
            </w:r>
          </w:p>
          <w:p>
            <w:pPr>
              <w:pStyle w:val="ListBullet"/>
              <w:numPr>
                <w:ilvl w:val="0"/>
                <w:numId w:val="2"/>
              </w:numPr>
              <w:spacing w:lineRule="auto" w:line="240" w:before="0" w:after="40"/>
              <w:contextualSpacing/>
              <w:rPr>
                <w:rFonts w:ascii="Nimbus Sans" w:hAnsi="Nimbus Sans" w:eastAsia="Nimbus Sans"/>
                <w:b w:val="false"/>
                <w:i w:val="false"/>
                <w:color w:val="111827"/>
                <w:sz w:val="16"/>
              </w:rPr>
            </w:pPr>
            <w:r>
              <w:rPr>
                <w:rFonts w:eastAsia="Nimbus Sans"/>
                <w:b w:val="false"/>
                <w:i w:val="false"/>
                <w:color w:val="111827"/>
                <w:sz w:val="16"/>
              </w:rPr>
              <w:t>No evidence shows compromise of the wider organisation</w:t>
            </w:r>
          </w:p>
          <w:p>
            <w:pPr>
              <w:pStyle w:val="ListBullet"/>
              <w:numPr>
                <w:ilvl w:val="0"/>
                <w:numId w:val="2"/>
              </w:numPr>
              <w:spacing w:lineRule="auto" w:line="240" w:before="0" w:after="40"/>
              <w:contextualSpacing/>
              <w:rPr>
                <w:rFonts w:ascii="Nimbus Sans" w:hAnsi="Nimbus Sans" w:eastAsia="Nimbus Sans"/>
                <w:b w:val="false"/>
                <w:i w:val="false"/>
                <w:color w:val="111827"/>
                <w:sz w:val="16"/>
              </w:rPr>
            </w:pPr>
            <w:r>
              <w:rPr>
                <w:rFonts w:eastAsia="Nimbus Sans"/>
                <w:b w:val="false"/>
                <w:i w:val="false"/>
                <w:color w:val="111827"/>
                <w:sz w:val="16"/>
              </w:rPr>
              <w:t>The visible property was restored</w:t>
            </w:r>
          </w:p>
          <w:p>
            <w:pPr>
              <w:pStyle w:val="ListBullet"/>
              <w:numPr>
                <w:ilvl w:val="0"/>
                <w:numId w:val="2"/>
              </w:numPr>
              <w:spacing w:lineRule="auto" w:line="240" w:before="0" w:after="40"/>
              <w:contextualSpacing/>
              <w:rPr>
                <w:rFonts w:ascii="Nimbus Sans" w:hAnsi="Nimbus Sans" w:eastAsia="Nimbus Sans"/>
                <w:b w:val="false"/>
                <w:i w:val="false"/>
                <w:color w:val="111827"/>
                <w:sz w:val="16"/>
              </w:rPr>
            </w:pPr>
            <w:r>
              <w:rPr>
                <w:rFonts w:eastAsia="Nimbus Sans"/>
                <w:b w:val="false"/>
                <w:i w:val="false"/>
                <w:color w:val="111827"/>
                <w:sz w:val="16"/>
              </w:rPr>
              <w:t>Standards can be judged on their content and review process</w:t>
            </w:r>
          </w:p>
          <w:p>
            <w:pPr>
              <w:pStyle w:val="ListBullet"/>
              <w:numPr>
                <w:ilvl w:val="0"/>
                <w:numId w:val="2"/>
              </w:numPr>
              <w:spacing w:lineRule="auto" w:line="240" w:before="0" w:after="40"/>
              <w:contextualSpacing/>
              <w:rPr>
                <w:rFonts w:ascii="Nimbus Sans" w:hAnsi="Nimbus Sans" w:eastAsia="Nimbus Sans"/>
                <w:b w:val="false"/>
                <w:i w:val="false"/>
                <w:color w:val="111827"/>
                <w:sz w:val="16"/>
              </w:rPr>
            </w:pPr>
            <w:r>
              <w:rPr>
                <w:rFonts w:eastAsia="Nimbus Sans"/>
                <w:b w:val="false"/>
                <w:i w:val="false"/>
                <w:color w:val="111827"/>
                <w:sz w:val="16"/>
              </w:rPr>
              <w:t>The technical root cause is straightforward to fix</w:t>
            </w:r>
          </w:p>
          <w:p>
            <w:pPr>
              <w:pStyle w:val="ListBullet"/>
              <w:numPr>
                <w:ilvl w:val="0"/>
                <w:numId w:val="2"/>
              </w:numPr>
              <w:spacing w:lineRule="auto" w:line="240" w:before="0" w:after="40"/>
              <w:contextualSpacing/>
              <w:rPr>
                <w:rFonts w:ascii="Nimbus Sans" w:hAnsi="Nimbus Sans" w:eastAsia="Nimbus Sans"/>
                <w:b w:val="false"/>
                <w:i w:val="false"/>
                <w:color w:val="111827"/>
                <w:sz w:val="16"/>
              </w:rPr>
            </w:pPr>
            <w:r>
              <w:rPr>
                <w:rFonts w:eastAsia="Nimbus Sans"/>
                <w:b w:val="false"/>
                <w:i w:val="false"/>
                <w:color w:val="111827"/>
                <w:sz w:val="16"/>
              </w:rPr>
              <w:t>Transparent post-incident work can rebuild trust</w:t>
            </w:r>
          </w:p>
        </w:tc>
      </w:tr>
    </w:tbl>
    <w:p>
      <w:pPr>
        <w:pStyle w:val="Heading2"/>
        <w:rPr/>
      </w:pPr>
      <w:r>
        <w:rPr/>
        <w:t>Formal opinion</w:t>
      </w:r>
    </w:p>
    <w:tbl>
      <w:tblPr>
        <w:tblW w:w="10080" w:type="dxa"/>
        <w:jc w:val="center"/>
        <w:tblInd w:w="0" w:type="dxa"/>
        <w:tblLayout w:type="fixed"/>
        <w:tblCellMar>
          <w:top w:w="0" w:type="dxa"/>
          <w:left w:w="0" w:type="dxa"/>
          <w:bottom w:w="0" w:type="dxa"/>
          <w:right w:w="0" w:type="dxa"/>
        </w:tblCellMar>
      </w:tblPr>
      <w:tblGrid>
        <w:gridCol w:w="5040"/>
        <w:gridCol w:w="5040"/>
      </w:tblGrid>
      <w:tr>
        <w:trPr>
          <w:cantSplit/>
        </w:trPr>
        <w:tc>
          <w:tcPr>
            <w:tcW w:w="5040" w:type="dxa"/>
            <w:tcBorders/>
            <w:shd w:fill="B54708" w:val="clear"/>
          </w:tcPr>
          <w:p>
            <w:pPr>
              <w:pStyle w:val="Normal"/>
              <w:widowControl/>
              <w:bidi w:val="0"/>
              <w:spacing w:lineRule="auto" w:line="252" w:before="0" w:after="100"/>
              <w:jc w:val="left"/>
              <w:rPr/>
            </w:pPr>
            <w:r>
              <w:rPr/>
            </w:r>
          </w:p>
        </w:tc>
        <w:tc>
          <w:tcPr>
            <w:tcW w:w="5040" w:type="dxa"/>
            <w:tcBorders/>
            <w:shd w:fill="FEF0C7" w:val="clear"/>
            <w:tcMar>
              <w:top w:w="120" w:type="dxa"/>
              <w:left w:w="170" w:type="dxa"/>
              <w:bottom w:w="120" w:type="dxa"/>
              <w:right w:w="170" w:type="dxa"/>
            </w:tcMar>
          </w:tcPr>
          <w:p>
            <w:pPr>
              <w:pStyle w:val="Normal"/>
              <w:spacing w:lineRule="auto" w:line="250" w:before="0" w:after="0"/>
              <w:rPr/>
            </w:pPr>
            <w:r>
              <w:rPr>
                <w:rFonts w:eastAsia="Nimbus Sans"/>
                <w:b/>
                <w:i w:val="false"/>
                <w:color w:val="B54708"/>
                <w:sz w:val="16"/>
              </w:rPr>
              <w:t>FINDING</w:t>
              <w:br/>
            </w:r>
            <w:r>
              <w:rPr>
                <w:rFonts w:eastAsia="Nimbus Sans"/>
                <w:b/>
                <w:i w:val="false"/>
                <w:color w:val="111827"/>
                <w:sz w:val="20"/>
              </w:rPr>
              <w:t>OWASP is not a dead duck. It is operationally embarrassed and institutionally recoverable. The defensible criticism is narrower and stronger: OWASP failed to protect and monitor this production hostname, then publicly misdescribed the failure. Until it publishes a precise post-incident account and closes the deployment defect, its operational authority on subdomain governance deserves heightened scrutiny.</w:t>
            </w:r>
          </w:p>
        </w:tc>
      </w:tr>
    </w:tbl>
    <w:p>
      <w:pPr>
        <w:pStyle w:val="Heading2"/>
        <w:rPr/>
      </w:pPr>
      <w:r>
        <w:rPr/>
        <w:t>Trust by domain</w:t>
      </w:r>
    </w:p>
    <w:tbl>
      <w:tblPr>
        <w:tblW w:w="10080" w:type="dxa"/>
        <w:jc w:val="center"/>
        <w:tblInd w:w="0" w:type="dxa"/>
        <w:tblLayout w:type="fixed"/>
        <w:tblCellMar>
          <w:top w:w="90" w:type="dxa"/>
          <w:left w:w="110" w:type="dxa"/>
          <w:bottom w:w="90" w:type="dxa"/>
          <w:right w:w="110" w:type="dxa"/>
        </w:tblCellMar>
      </w:tblPr>
      <w:tblGrid>
        <w:gridCol w:w="3360"/>
        <w:gridCol w:w="3360"/>
        <w:gridCol w:w="3360"/>
      </w:tblGrid>
      <w:tr>
        <w:trPr>
          <w:tblHeader w:val="true"/>
          <w:cantSplit/>
        </w:trPr>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Area</w:t>
            </w:r>
          </w:p>
        </w:tc>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Current view</w:t>
            </w:r>
          </w:p>
        </w:tc>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Rationale</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Infrastructure operations</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Low pending evidence</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Public controls failed and the durable fix is not yet visible.</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Incident communication</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Low pending correction</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The public wording conflated registration, DNS and hosting.</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Security guidance</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Issue-specific review</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This incident does not invalidate guidance; it exposes a failure to apply it.</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6"/>
              </w:rPr>
            </w:pPr>
            <w:r>
              <w:rPr>
                <w:rFonts w:eastAsia="Nimbus Sans"/>
                <w:b/>
                <w:color w:val="111827"/>
                <w:sz w:val="16"/>
              </w:rPr>
              <w:t>Institutional recovery</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Achievable</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The cause is fixable through ownership, automation, monitoring and transparency.</w:t>
            </w:r>
          </w:p>
        </w:tc>
      </w:tr>
    </w:tbl>
    <w:p>
      <w:pPr>
        <w:pStyle w:val="Normal"/>
        <w:spacing w:before="0" w:after="0"/>
        <w:rPr/>
      </w:pPr>
      <w:r>
        <w:rPr/>
      </w:r>
    </w:p>
    <w:p>
      <w:pPr>
        <w:pStyle w:val="Normal"/>
        <w:rPr/>
      </w:pPr>
      <w:r>
        <w:rPr/>
      </w:r>
      <w:r>
        <w:br w:type="page"/>
      </w:r>
    </w:p>
    <w:p>
      <w:pPr>
        <w:pStyle w:val="Normal"/>
        <w:keepLines/>
        <w:spacing w:lineRule="auto" w:line="252" w:before="0" w:after="80"/>
        <w:rPr>
          <w:rFonts w:ascii="Nimbus Sans" w:hAnsi="Nimbus Sans" w:eastAsia="Nimbus Sans"/>
          <w:b/>
          <w:i w:val="false"/>
          <w:color w:val="0F766E"/>
          <w:sz w:val="16"/>
        </w:rPr>
      </w:pPr>
      <w:r>
        <w:rPr>
          <w:rFonts w:eastAsia="Nimbus Sans"/>
          <w:b/>
          <w:i w:val="false"/>
          <w:color w:val="0F766E"/>
          <w:sz w:val="16"/>
        </w:rPr>
        <w:t>08 / REMEDIATION</w:t>
      </w:r>
    </w:p>
    <w:p>
      <w:pPr>
        <w:pStyle w:val="Heading1"/>
        <w:rPr/>
      </w:pPr>
      <w:r>
        <w:rPr/>
        <w:t>Actions that would restore confidence</w:t>
      </w:r>
    </w:p>
    <w:p>
      <w:pPr>
        <w:pStyle w:val="Normal"/>
        <w:spacing w:lineRule="auto" w:line="252" w:before="0" w:after="120"/>
        <w:rPr>
          <w:rFonts w:ascii="Nimbus Sans" w:hAnsi="Nimbus Sans" w:eastAsia="Nimbus Sans"/>
          <w:b w:val="false"/>
          <w:i w:val="false"/>
          <w:color w:val="111827"/>
          <w:sz w:val="19"/>
        </w:rPr>
      </w:pPr>
      <w:r>
        <w:rPr>
          <w:rFonts w:eastAsia="Nimbus Sans"/>
          <w:b w:val="false"/>
          <w:i w:val="false"/>
          <w:color w:val="111827"/>
          <w:sz w:val="19"/>
        </w:rPr>
        <w:t>The repair should be judged by repeatability, observability and published evidence rather than by the return of the page alone.</w:t>
      </w:r>
    </w:p>
    <w:tbl>
      <w:tblPr>
        <w:tblW w:w="10080" w:type="dxa"/>
        <w:jc w:val="center"/>
        <w:tblInd w:w="0" w:type="dxa"/>
        <w:tblLayout w:type="fixed"/>
        <w:tblCellMar>
          <w:top w:w="90" w:type="dxa"/>
          <w:left w:w="110" w:type="dxa"/>
          <w:bottom w:w="90" w:type="dxa"/>
          <w:right w:w="110" w:type="dxa"/>
        </w:tblCellMar>
      </w:tblPr>
      <w:tblGrid>
        <w:gridCol w:w="3360"/>
        <w:gridCol w:w="3360"/>
        <w:gridCol w:w="3360"/>
      </w:tblGrid>
      <w:tr>
        <w:trPr>
          <w:tblHeader w:val="true"/>
          <w:cantSplit/>
        </w:trPr>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Priority</w:t>
            </w:r>
          </w:p>
        </w:tc>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Action</w:t>
            </w:r>
          </w:p>
        </w:tc>
        <w:tc>
          <w:tcPr>
            <w:tcW w:w="336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Acceptance evidence</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P0</w:t>
              <w:br/>
              <w:t>0–24 h</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Make the CNAME durable</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Place CNAME in the MkDocs source/output or replace the force-push workflow with a Pages deployment that preserves the custom domain. Add a CI assertion that fails if the expected hostname is absent.</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P0</w:t>
              <w:br/>
              <w:t>0–24 h</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Verify and lock the domain</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Confirm owasp.org is verified for the owning GitHub organisation, review Pages custom-domain settings, enable strongest available domain protection and preserve evidence of the state.</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P0</w:t>
              <w:br/>
              <w:t>0–24 h</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Review evidence</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Preserve GitHub, Cloudflare, redirect, certificate-transparency and web logs. Determine first claim, first request, restoration and any unexpected paths or certificates.</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P0</w:t>
              <w:br/>
              <w:t>0–24 h</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Reduce trust exposure</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Review Domain-scoped cookies, wildcard CSP and CORS rules, OAuth redirects and SSO allowlists. Remove the redirect while control is uncertain.</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P1</w:t>
              <w:br/>
              <w:t>7 days</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Inventory every hostname</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Create an authoritative inventory linking DNS records, hosting resources, repositories, owners and expiry or decommissioning states.</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P1</w:t>
              <w:br/>
              <w:t>7 days</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Continuously test</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Scan for dangling records and unexpected content, alert on CNAME removal, Pages-binding changes, certificate issuance and redirect changes.</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P1</w:t>
              <w:br/>
              <w:t>7 days</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Separate duties</w:t>
            </w:r>
          </w:p>
        </w:tc>
        <w:tc>
          <w:tcPr>
            <w:tcW w:w="336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Require review for DNS, Pages custom domains and production deployment workflows. Assign a named owner and an escalation path for each project hostname.</w:t>
            </w:r>
          </w:p>
        </w:tc>
      </w:tr>
      <w:tr>
        <w:trPr>
          <w:cantSplit/>
        </w:trPr>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P2</w:t>
              <w:br/>
              <w:t>30 days</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Publish the incident report</w:t>
            </w:r>
          </w:p>
        </w:tc>
        <w:tc>
          <w:tcPr>
            <w:tcW w:w="336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6"/>
              </w:rPr>
            </w:pPr>
            <w:r>
              <w:rPr>
                <w:rFonts w:eastAsia="Nimbus Sans"/>
                <w:b w:val="false"/>
                <w:color w:val="111827"/>
                <w:sz w:val="16"/>
              </w:rPr>
              <w:t>Give exact root cause, timeline, observed impact, log-review outcome, recurrence control and any correction to earlier statements.</w:t>
            </w:r>
          </w:p>
        </w:tc>
      </w:tr>
    </w:tbl>
    <w:p>
      <w:pPr>
        <w:pStyle w:val="Normal"/>
        <w:spacing w:before="0" w:after="0"/>
        <w:rPr/>
      </w:pPr>
      <w:r>
        <w:rPr/>
      </w:r>
    </w:p>
    <w:p>
      <w:pPr>
        <w:pStyle w:val="Heading2"/>
        <w:rPr/>
      </w:pPr>
      <w:r>
        <w:rPr/>
        <w:t>Minimum public post-incident record</w:t>
      </w:r>
    </w:p>
    <w:p>
      <w:pPr>
        <w:pStyle w:val="ListNumber"/>
        <w:numPr>
          <w:ilvl w:val="0"/>
          <w:numId w:val="5"/>
        </w:numPr>
        <w:spacing w:lineRule="auto" w:line="250" w:before="0" w:after="60"/>
        <w:contextualSpacing/>
        <w:rPr>
          <w:rFonts w:ascii="Nimbus Sans" w:hAnsi="Nimbus Sans" w:eastAsia="Nimbus Sans"/>
          <w:b w:val="false"/>
          <w:i w:val="false"/>
          <w:color w:val="111827"/>
          <w:sz w:val="18"/>
        </w:rPr>
      </w:pPr>
      <w:r>
        <w:rPr>
          <w:rFonts w:eastAsia="Nimbus Sans"/>
          <w:b w:val="false"/>
          <w:i w:val="false"/>
          <w:color w:val="111827"/>
          <w:sz w:val="18"/>
        </w:rPr>
        <w:t>The exact technical trigger and why the deployment was permitted to remove the binding.</w:t>
      </w:r>
    </w:p>
    <w:p>
      <w:pPr>
        <w:pStyle w:val="ListNumber"/>
        <w:numPr>
          <w:ilvl w:val="0"/>
          <w:numId w:val="5"/>
        </w:numPr>
        <w:spacing w:lineRule="auto" w:line="250" w:before="0" w:after="60"/>
        <w:contextualSpacing/>
        <w:rPr>
          <w:rFonts w:ascii="Nimbus Sans" w:hAnsi="Nimbus Sans" w:eastAsia="Nimbus Sans"/>
          <w:b w:val="false"/>
          <w:i w:val="false"/>
          <w:color w:val="111827"/>
          <w:sz w:val="18"/>
        </w:rPr>
      </w:pPr>
      <w:r>
        <w:rPr>
          <w:rFonts w:eastAsia="Nimbus Sans"/>
          <w:b w:val="false"/>
          <w:i w:val="false"/>
          <w:color w:val="111827"/>
          <w:sz w:val="18"/>
        </w:rPr>
        <w:t>The first known unauthorised claim, detection time, containment time and full restoration time.</w:t>
      </w:r>
    </w:p>
    <w:p>
      <w:pPr>
        <w:pStyle w:val="ListNumber"/>
        <w:numPr>
          <w:ilvl w:val="0"/>
          <w:numId w:val="5"/>
        </w:numPr>
        <w:spacing w:lineRule="auto" w:line="250" w:before="0" w:after="60"/>
        <w:contextualSpacing/>
        <w:rPr>
          <w:rFonts w:ascii="Nimbus Sans" w:hAnsi="Nimbus Sans" w:eastAsia="Nimbus Sans"/>
          <w:b w:val="false"/>
          <w:i w:val="false"/>
          <w:color w:val="111827"/>
          <w:sz w:val="18"/>
        </w:rPr>
      </w:pPr>
      <w:r>
        <w:rPr>
          <w:rFonts w:eastAsia="Nimbus Sans"/>
          <w:b w:val="false"/>
          <w:i w:val="false"/>
          <w:color w:val="111827"/>
          <w:sz w:val="18"/>
        </w:rPr>
        <w:t>Whether cookies, CSP, CORS, OAuth, SSO, email, certificates, redirects or user data were exposed.</w:t>
      </w:r>
    </w:p>
    <w:p>
      <w:pPr>
        <w:pStyle w:val="ListNumber"/>
        <w:numPr>
          <w:ilvl w:val="0"/>
          <w:numId w:val="5"/>
        </w:numPr>
        <w:spacing w:lineRule="auto" w:line="250" w:before="0" w:after="60"/>
        <w:contextualSpacing/>
        <w:rPr>
          <w:rFonts w:ascii="Nimbus Sans" w:hAnsi="Nimbus Sans" w:eastAsia="Nimbus Sans"/>
          <w:b w:val="false"/>
          <w:i w:val="false"/>
          <w:color w:val="111827"/>
          <w:sz w:val="18"/>
        </w:rPr>
      </w:pPr>
      <w:r>
        <w:rPr>
          <w:rFonts w:eastAsia="Nimbus Sans"/>
          <w:b w:val="false"/>
          <w:i w:val="false"/>
          <w:color w:val="111827"/>
          <w:sz w:val="18"/>
        </w:rPr>
        <w:t>Whether any earlier report reached OWASP, with privacy-preserving evidence where possible.</w:t>
      </w:r>
    </w:p>
    <w:p>
      <w:pPr>
        <w:pStyle w:val="ListNumber"/>
        <w:numPr>
          <w:ilvl w:val="0"/>
          <w:numId w:val="5"/>
        </w:numPr>
        <w:spacing w:lineRule="auto" w:line="250" w:before="0" w:after="60"/>
        <w:contextualSpacing/>
        <w:rPr>
          <w:rFonts w:ascii="Nimbus Sans" w:hAnsi="Nimbus Sans" w:eastAsia="Nimbus Sans"/>
          <w:b w:val="false"/>
          <w:i w:val="false"/>
          <w:color w:val="111827"/>
          <w:sz w:val="18"/>
        </w:rPr>
      </w:pPr>
      <w:r>
        <w:rPr>
          <w:rFonts w:eastAsia="Nimbus Sans"/>
          <w:b w:val="false"/>
          <w:i w:val="false"/>
          <w:color w:val="111827"/>
          <w:sz w:val="18"/>
        </w:rPr>
        <w:t>The durable workflow change, domain-verification state and ongoing monitoring control.</w:t>
      </w:r>
    </w:p>
    <w:p>
      <w:pPr>
        <w:pStyle w:val="ListNumber"/>
        <w:numPr>
          <w:ilvl w:val="0"/>
          <w:numId w:val="5"/>
        </w:numPr>
        <w:spacing w:lineRule="auto" w:line="250" w:before="0" w:after="60"/>
        <w:contextualSpacing/>
        <w:rPr>
          <w:rFonts w:ascii="Nimbus Sans" w:hAnsi="Nimbus Sans" w:eastAsia="Nimbus Sans"/>
          <w:b w:val="false"/>
          <w:i w:val="false"/>
          <w:color w:val="111827"/>
          <w:sz w:val="18"/>
        </w:rPr>
      </w:pPr>
      <w:r>
        <w:rPr>
          <w:rFonts w:eastAsia="Nimbus Sans"/>
          <w:b w:val="false"/>
          <w:i w:val="false"/>
          <w:color w:val="111827"/>
          <w:sz w:val="18"/>
        </w:rPr>
        <w:t>A correction of any public claim shown to be inaccurate, including “a domain expired”.</w:t>
      </w:r>
    </w:p>
    <w:tbl>
      <w:tblPr>
        <w:tblW w:w="10080" w:type="dxa"/>
        <w:jc w:val="center"/>
        <w:tblInd w:w="0" w:type="dxa"/>
        <w:tblLayout w:type="fixed"/>
        <w:tblCellMar>
          <w:top w:w="0" w:type="dxa"/>
          <w:left w:w="0" w:type="dxa"/>
          <w:bottom w:w="0" w:type="dxa"/>
          <w:right w:w="0" w:type="dxa"/>
        </w:tblCellMar>
      </w:tblPr>
      <w:tblGrid>
        <w:gridCol w:w="5040"/>
        <w:gridCol w:w="5040"/>
      </w:tblGrid>
      <w:tr>
        <w:trPr>
          <w:cantSplit/>
        </w:trPr>
        <w:tc>
          <w:tcPr>
            <w:tcW w:w="5040" w:type="dxa"/>
            <w:tcBorders/>
            <w:shd w:fill="0F766E" w:val="clear"/>
          </w:tcPr>
          <w:p>
            <w:pPr>
              <w:pStyle w:val="Normal"/>
              <w:widowControl/>
              <w:bidi w:val="0"/>
              <w:spacing w:lineRule="auto" w:line="252" w:before="0" w:after="100"/>
              <w:jc w:val="left"/>
              <w:rPr/>
            </w:pPr>
            <w:r>
              <w:rPr/>
            </w:r>
          </w:p>
        </w:tc>
        <w:tc>
          <w:tcPr>
            <w:tcW w:w="5040" w:type="dxa"/>
            <w:tcBorders/>
            <w:shd w:fill="E7F6F2" w:val="clear"/>
            <w:tcMar>
              <w:top w:w="120" w:type="dxa"/>
              <w:left w:w="170" w:type="dxa"/>
              <w:bottom w:w="120" w:type="dxa"/>
              <w:right w:w="170" w:type="dxa"/>
            </w:tcMar>
          </w:tcPr>
          <w:p>
            <w:pPr>
              <w:pStyle w:val="Normal"/>
              <w:spacing w:lineRule="auto" w:line="250" w:before="0" w:after="0"/>
              <w:rPr/>
            </w:pPr>
            <w:r>
              <w:rPr>
                <w:rFonts w:eastAsia="Nimbus Sans"/>
                <w:b/>
                <w:i w:val="false"/>
                <w:color w:val="0F766E"/>
                <w:sz w:val="16"/>
              </w:rPr>
              <w:t>RECOVERY TEST</w:t>
              <w:br/>
            </w:r>
            <w:r>
              <w:rPr>
                <w:rFonts w:eastAsia="Nimbus Sans"/>
                <w:b/>
                <w:i w:val="false"/>
                <w:color w:val="111827"/>
                <w:sz w:val="20"/>
              </w:rPr>
              <w:t>Trust should rise when the next deployment can be shown not to remove the domain binding, not merely when the current page looks normal.</w:t>
            </w:r>
          </w:p>
        </w:tc>
      </w:tr>
    </w:tbl>
    <w:p>
      <w:pPr>
        <w:pStyle w:val="Normal"/>
        <w:rPr/>
      </w:pPr>
      <w:r>
        <w:rPr/>
      </w:r>
      <w:r>
        <w:br w:type="page"/>
      </w:r>
    </w:p>
    <w:p>
      <w:pPr>
        <w:pStyle w:val="Normal"/>
        <w:keepLines/>
        <w:spacing w:lineRule="auto" w:line="252" w:before="0" w:after="80"/>
        <w:rPr>
          <w:rFonts w:ascii="Nimbus Sans" w:hAnsi="Nimbus Sans" w:eastAsia="Nimbus Sans"/>
          <w:b/>
          <w:i w:val="false"/>
          <w:color w:val="0F766E"/>
          <w:sz w:val="16"/>
        </w:rPr>
      </w:pPr>
      <w:r>
        <w:rPr>
          <w:rFonts w:eastAsia="Nimbus Sans"/>
          <w:b/>
          <w:i w:val="false"/>
          <w:color w:val="0F766E"/>
          <w:sz w:val="16"/>
        </w:rPr>
        <w:t>09 / EVIDENCE MATRIX</w:t>
      </w:r>
    </w:p>
    <w:p>
      <w:pPr>
        <w:pStyle w:val="Heading1"/>
        <w:rPr/>
      </w:pPr>
      <w:r>
        <w:rPr/>
        <w:t>Findings and confidence</w:t>
      </w:r>
    </w:p>
    <w:tbl>
      <w:tblPr>
        <w:tblW w:w="10080" w:type="dxa"/>
        <w:jc w:val="center"/>
        <w:tblInd w:w="0" w:type="dxa"/>
        <w:tblLayout w:type="fixed"/>
        <w:tblCellMar>
          <w:top w:w="90" w:type="dxa"/>
          <w:left w:w="110" w:type="dxa"/>
          <w:bottom w:w="90" w:type="dxa"/>
          <w:right w:w="110" w:type="dxa"/>
        </w:tblCellMar>
      </w:tblPr>
      <w:tblGrid>
        <w:gridCol w:w="2520"/>
        <w:gridCol w:w="2520"/>
        <w:gridCol w:w="2520"/>
        <w:gridCol w:w="2520"/>
      </w:tblGrid>
      <w:tr>
        <w:trPr>
          <w:tblHeader w:val="true"/>
          <w:cantSplit/>
        </w:trPr>
        <w:tc>
          <w:tcPr>
            <w:tcW w:w="252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Proposition</w:t>
            </w:r>
          </w:p>
        </w:tc>
        <w:tc>
          <w:tcPr>
            <w:tcW w:w="252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Assessment</w:t>
            </w:r>
          </w:p>
        </w:tc>
        <w:tc>
          <w:tcPr>
            <w:tcW w:w="252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Public basis</w:t>
            </w:r>
          </w:p>
        </w:tc>
        <w:tc>
          <w:tcPr>
            <w:tcW w:w="2520" w:type="dxa"/>
            <w:tcBorders>
              <w:top w:val="single" w:sz="6" w:space="0" w:color="D0D5DD"/>
              <w:left w:val="single" w:sz="6" w:space="0" w:color="D0D5DD"/>
              <w:bottom w:val="single" w:sz="6" w:space="0" w:color="D0D5DD"/>
              <w:right w:val="single" w:sz="6" w:space="0" w:color="D0D5DD"/>
            </w:tcBorders>
            <w:shd w:fill="17243A" w:val="clear"/>
            <w:vAlign w:val="center"/>
          </w:tcPr>
          <w:p>
            <w:pPr>
              <w:pStyle w:val="Normal"/>
              <w:spacing w:lineRule="auto" w:line="245" w:before="0" w:after="0"/>
              <w:jc w:val="left"/>
              <w:rPr>
                <w:rFonts w:ascii="Nimbus Sans" w:hAnsi="Nimbus Sans" w:eastAsia="Nimbus Sans"/>
                <w:b/>
                <w:color w:val="FFFFFF"/>
                <w:sz w:val="16"/>
              </w:rPr>
            </w:pPr>
            <w:r>
              <w:rPr>
                <w:rFonts w:eastAsia="Nimbus Sans"/>
                <w:b/>
                <w:color w:val="FFFFFF"/>
                <w:sz w:val="16"/>
              </w:rPr>
              <w:t>Limit</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The official site was normal at 04:43</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Established</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Wayback capture</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Archive timing, not continuous monitoring</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A forced deploy omitted CNAME at 12:41</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Established</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Git commit and workflow</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Private Pages settings not visible</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NOX content appeared by 15:20</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Established</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Wayback capture</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Exact first-public time unknown</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The takeover persisted to at least 21:25</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Established</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Later Wayback capture</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Intermittent states cannot be excluded</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Re-adding CNAME was part of restoration</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Established</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Repair commit</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Exact edge propagation time unknown</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owasp.org expired</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Refuted</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WHOIS expiry in 2031</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WHOIS supplied at assessment time</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Authoritative DNS was hijacked</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Not established</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No zone-change evidence</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Private Cloudflare logs unavailable</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The site property was compromised</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Established</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Unauthorised content on official host</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Does not imply wider penetration</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NOX was the responsible organisation</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Moderate</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Self-attribution and public company identity</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Independent acceptance and individual operator not proven</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u/vanderaj is OWASP's Executive Director</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High</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Longstanding handle and official role links</w:t>
            </w:r>
          </w:p>
        </w:tc>
        <w:tc>
          <w:tcPr>
            <w:tcW w:w="2520" w:type="dxa"/>
            <w:tcBorders>
              <w:top w:val="single" w:sz="6" w:space="0" w:color="D0D5DD"/>
              <w:left w:val="single" w:sz="6" w:space="0" w:color="D0D5DD"/>
              <w:bottom w:val="single" w:sz="6" w:space="0" w:color="D0D5DD"/>
              <w:right w:val="single" w:sz="6" w:space="0" w:color="D0D5DD"/>
            </w:tcBorders>
            <w:shd w:fill="F2F4F7"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Reddit authorship not cryptographically verified</w:t>
            </w:r>
          </w:p>
        </w:tc>
      </w:tr>
      <w:tr>
        <w:trPr>
          <w:cantSplit/>
        </w:trPr>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color w:val="111827"/>
                <w:sz w:val="15"/>
              </w:rPr>
            </w:pPr>
            <w:r>
              <w:rPr>
                <w:rFonts w:eastAsia="Nimbus Sans"/>
                <w:b/>
                <w:color w:val="111827"/>
                <w:sz w:val="15"/>
              </w:rPr>
              <w:t>The defect can recur</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Moderate to high</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Workflow still force-pushes without durable source CNAME</w:t>
            </w:r>
          </w:p>
        </w:tc>
        <w:tc>
          <w:tcPr>
            <w:tcW w:w="2520" w:type="dxa"/>
            <w:tcBorders>
              <w:top w:val="single" w:sz="6" w:space="0" w:color="D0D5DD"/>
              <w:left w:val="single" w:sz="6" w:space="0" w:color="D0D5DD"/>
              <w:bottom w:val="single" w:sz="6" w:space="0" w:color="D0D5DD"/>
              <w:right w:val="single" w:sz="6" w:space="0" w:color="D0D5DD"/>
            </w:tcBorders>
            <w:shd w:fill="FFFFFF" w:val="clear"/>
            <w:vAlign w:val="center"/>
          </w:tcPr>
          <w:p>
            <w:pPr>
              <w:pStyle w:val="Normal"/>
              <w:spacing w:lineRule="auto" w:line="245" w:before="0" w:after="0"/>
              <w:jc w:val="left"/>
              <w:rPr>
                <w:rFonts w:ascii="Nimbus Sans" w:hAnsi="Nimbus Sans" w:eastAsia="Nimbus Sans"/>
                <w:b w:val="false"/>
                <w:color w:val="111827"/>
                <w:sz w:val="15"/>
              </w:rPr>
            </w:pPr>
            <w:r>
              <w:rPr>
                <w:rFonts w:eastAsia="Nimbus Sans"/>
                <w:b w:val="false"/>
                <w:color w:val="111827"/>
                <w:sz w:val="15"/>
              </w:rPr>
              <w:t>Hidden verification may reduce takeover risk</w:t>
            </w:r>
          </w:p>
        </w:tc>
      </w:tr>
    </w:tbl>
    <w:p>
      <w:pPr>
        <w:pStyle w:val="Normal"/>
        <w:spacing w:before="0" w:after="0"/>
        <w:rPr/>
      </w:pPr>
      <w:r>
        <w:rPr/>
      </w:r>
    </w:p>
    <w:p>
      <w:pPr>
        <w:pStyle w:val="Heading2"/>
        <w:rPr/>
      </w:pPr>
      <w:r>
        <w:rPr/>
        <w:t>Method and limitations</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Facts are derived from public web archives, public repository history, current public configuration, official guidance and public identity records.</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Archive timestamps prove that a representation was captured at a time; they do not provide continuous availability monitoring.</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Git commits show repository state; they do not reveal all GitHub organisation settings, domain-verification controls or audit-log events.</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WHOIS and public company listings describe registration records; they do not prove who operated a keyboard during the incident.</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Statements by OWASP and NOX are treated as claims unless corroborated by independent artefacts.</w:t>
      </w:r>
    </w:p>
    <w:p>
      <w:pPr>
        <w:pStyle w:val="ListBullet"/>
        <w:numPr>
          <w:ilvl w:val="0"/>
          <w:numId w:val="2"/>
        </w:numPr>
        <w:spacing w:lineRule="auto" w:line="250" w:before="0" w:after="40"/>
        <w:contextualSpacing/>
        <w:rPr>
          <w:rFonts w:ascii="Nimbus Sans" w:hAnsi="Nimbus Sans" w:eastAsia="Nimbus Sans"/>
          <w:b w:val="false"/>
          <w:i w:val="false"/>
          <w:color w:val="111827"/>
          <w:sz w:val="18"/>
        </w:rPr>
      </w:pPr>
      <w:r>
        <w:rPr>
          <w:rFonts w:eastAsia="Nimbus Sans"/>
          <w:b w:val="false"/>
          <w:i w:val="false"/>
          <w:color w:val="111827"/>
          <w:sz w:val="18"/>
        </w:rPr>
        <w:t>Legal observations are issue-spotting only and are not legal advice.</w:t>
      </w:r>
    </w:p>
    <w:tbl>
      <w:tblPr>
        <w:tblW w:w="10080" w:type="dxa"/>
        <w:jc w:val="center"/>
        <w:tblInd w:w="0" w:type="dxa"/>
        <w:tblLayout w:type="fixed"/>
        <w:tblCellMar>
          <w:top w:w="0" w:type="dxa"/>
          <w:left w:w="0" w:type="dxa"/>
          <w:bottom w:w="0" w:type="dxa"/>
          <w:right w:w="0" w:type="dxa"/>
        </w:tblCellMar>
      </w:tblPr>
      <w:tblGrid>
        <w:gridCol w:w="5040"/>
        <w:gridCol w:w="5040"/>
      </w:tblGrid>
      <w:tr>
        <w:trPr>
          <w:cantSplit/>
        </w:trPr>
        <w:tc>
          <w:tcPr>
            <w:tcW w:w="5040" w:type="dxa"/>
            <w:tcBorders/>
            <w:shd w:fill="175CD3" w:val="clear"/>
          </w:tcPr>
          <w:p>
            <w:pPr>
              <w:pStyle w:val="Normal"/>
              <w:widowControl/>
              <w:bidi w:val="0"/>
              <w:spacing w:lineRule="auto" w:line="252" w:before="0" w:after="100"/>
              <w:jc w:val="left"/>
              <w:rPr/>
            </w:pPr>
            <w:r>
              <w:rPr/>
            </w:r>
          </w:p>
        </w:tc>
        <w:tc>
          <w:tcPr>
            <w:tcW w:w="5040" w:type="dxa"/>
            <w:tcBorders/>
            <w:shd w:fill="EFF8FF" w:val="clear"/>
            <w:tcMar>
              <w:top w:w="120" w:type="dxa"/>
              <w:left w:w="170" w:type="dxa"/>
              <w:bottom w:w="120" w:type="dxa"/>
              <w:right w:w="170" w:type="dxa"/>
            </w:tcMar>
          </w:tcPr>
          <w:p>
            <w:pPr>
              <w:pStyle w:val="Normal"/>
              <w:spacing w:lineRule="auto" w:line="250" w:before="0" w:after="0"/>
              <w:rPr/>
            </w:pPr>
            <w:r>
              <w:rPr>
                <w:rFonts w:eastAsia="Nimbus Sans"/>
                <w:b/>
                <w:i w:val="false"/>
                <w:color w:val="175CD3"/>
                <w:sz w:val="16"/>
              </w:rPr>
              <w:t>EVIDENCE STANDARD</w:t>
              <w:br/>
            </w:r>
            <w:r>
              <w:rPr>
                <w:rFonts w:eastAsia="Nimbus Sans"/>
                <w:b/>
                <w:i w:val="false"/>
                <w:color w:val="111827"/>
                <w:sz w:val="20"/>
              </w:rPr>
              <w:t>Where the public record cannot distinguish between possibilities, the report states that uncertainty rather than filling it with accusation.</w:t>
            </w:r>
          </w:p>
        </w:tc>
      </w:tr>
    </w:tbl>
    <w:p>
      <w:pPr>
        <w:pStyle w:val="Normal"/>
        <w:rPr/>
      </w:pPr>
      <w:r>
        <w:rPr/>
      </w:r>
      <w:r>
        <w:br w:type="page"/>
      </w:r>
    </w:p>
    <w:p>
      <w:pPr>
        <w:pStyle w:val="Normal"/>
        <w:keepLines/>
        <w:spacing w:lineRule="auto" w:line="252" w:before="0" w:after="80"/>
        <w:rPr>
          <w:rFonts w:ascii="Nimbus Sans" w:hAnsi="Nimbus Sans" w:eastAsia="Nimbus Sans"/>
          <w:b/>
          <w:i w:val="false"/>
          <w:color w:val="0F766E"/>
          <w:sz w:val="16"/>
        </w:rPr>
      </w:pPr>
      <w:r>
        <w:rPr>
          <w:rFonts w:eastAsia="Nimbus Sans"/>
          <w:b/>
          <w:i w:val="false"/>
          <w:color w:val="0F766E"/>
          <w:sz w:val="16"/>
        </w:rPr>
        <w:t>10 / SOURCES</w:t>
      </w:r>
    </w:p>
    <w:p>
      <w:pPr>
        <w:pStyle w:val="Heading1"/>
        <w:rPr/>
      </w:pPr>
      <w:r>
        <w:rPr/>
        <w:t>Sources and public artefacts</w:t>
      </w:r>
    </w:p>
    <w:p>
      <w:pPr>
        <w:pStyle w:val="Normal"/>
        <w:spacing w:lineRule="auto" w:line="252" w:before="0" w:after="140"/>
        <w:rPr>
          <w:rFonts w:ascii="Nimbus Sans" w:hAnsi="Nimbus Sans" w:eastAsia="Nimbus Sans"/>
          <w:b w:val="false"/>
          <w:i w:val="false"/>
          <w:color w:val="667085"/>
          <w:sz w:val="19"/>
        </w:rPr>
      </w:pPr>
      <w:r>
        <w:rPr>
          <w:rFonts w:eastAsia="Nimbus Sans"/>
          <w:b w:val="false"/>
          <w:i w:val="false"/>
          <w:color w:val="667085"/>
          <w:sz w:val="19"/>
        </w:rPr>
        <w:t>Links were reviewed on 22 September 2026 unless otherwise stated. Repository and archive timestamps are UTC.</w:t>
      </w:r>
    </w:p>
    <w:p>
      <w:pPr>
        <w:pStyle w:val="Heading2"/>
        <w:rPr/>
      </w:pPr>
      <w:r>
        <w:rPr/>
        <w:t>Incident artefacts</w:t>
      </w:r>
    </w:p>
    <w:p>
      <w:pPr>
        <w:pStyle w:val="Normal"/>
        <w:keepLines/>
        <w:spacing w:lineRule="auto" w:line="240" w:before="0" w:after="20"/>
        <w:rPr/>
      </w:pPr>
      <w:r>
        <w:rPr>
          <w:rFonts w:eastAsia="Nimbus Sans"/>
          <w:b/>
          <w:i w:val="false"/>
          <w:color w:val="0F766E"/>
          <w:sz w:val="16"/>
        </w:rPr>
        <w:t xml:space="preserve">[1] </w:t>
      </w:r>
      <w:r>
        <w:rPr>
          <w:rFonts w:eastAsia="Nimbus Sans"/>
          <w:b/>
          <w:i w:val="false"/>
          <w:color w:val="111827"/>
          <w:sz w:val="16"/>
        </w:rPr>
        <w:t>Wayback capture before takeover</w:t>
      </w:r>
      <w:r>
        <w:rPr>
          <w:rFonts w:eastAsia="Nimbus Sans"/>
          <w:b w:val="false"/>
          <w:i w:val="false"/>
          <w:color w:val="667085"/>
          <w:sz w:val="16"/>
        </w:rPr>
        <w:t xml:space="preserve"> — Official OWASP API Security site at 04:43:05 on 21 September 2026. </w:t>
      </w:r>
      <w:hyperlink r:id="rId2">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[2] </w:t>
      </w:r>
      <w:r>
        <w:rPr>
          <w:rFonts w:eastAsia="Nimbus Sans"/>
          <w:b/>
          <w:i w:val="false"/>
          <w:color w:val="111827"/>
          <w:sz w:val="16"/>
        </w:rPr>
        <w:t>GitHub deployment commit 9ef4ea0</w:t>
      </w:r>
      <w:r>
        <w:rPr>
          <w:rFonts w:eastAsia="Nimbus Sans"/>
          <w:b w:val="false"/>
          <w:i w:val="false"/>
          <w:color w:val="667085"/>
          <w:sz w:val="16"/>
        </w:rPr>
        <w:t xml:space="preserve"> — MkDocs deployment at 12:41:59 on 21 September; new gh-pages history without CNAME. </w:t>
      </w:r>
      <w:hyperlink r:id="rId3">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[3] </w:t>
      </w:r>
      <w:r>
        <w:rPr>
          <w:rFonts w:eastAsia="Nimbus Sans"/>
          <w:b/>
          <w:i w:val="false"/>
          <w:color w:val="111827"/>
          <w:sz w:val="16"/>
        </w:rPr>
        <w:t>Wayback capture during takeover</w:t>
      </w:r>
      <w:r>
        <w:rPr>
          <w:rFonts w:eastAsia="Nimbus Sans"/>
          <w:b w:val="false"/>
          <w:i w:val="false"/>
          <w:color w:val="667085"/>
          <w:sz w:val="16"/>
        </w:rPr>
        <w:t xml:space="preserve"> — Security Notice | NOX Offensive Security at 15:20:33 on 21 September. </w:t>
      </w:r>
      <w:hyperlink r:id="rId4">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[4] </w:t>
      </w:r>
      <w:r>
        <w:rPr>
          <w:rFonts w:eastAsia="Nimbus Sans"/>
          <w:b/>
          <w:i w:val="false"/>
          <w:color w:val="111827"/>
          <w:sz w:val="16"/>
        </w:rPr>
        <w:t>GitHub CNAME creation commit ed89451</w:t>
      </w:r>
      <w:r>
        <w:rPr>
          <w:rFonts w:eastAsia="Nimbus Sans"/>
          <w:b w:val="false"/>
          <w:i w:val="false"/>
          <w:color w:val="667085"/>
          <w:sz w:val="16"/>
        </w:rPr>
        <w:t xml:space="preserve"> — Initial custom-domain file added on 11 September 2026. </w:t>
      </w:r>
      <w:hyperlink r:id="rId5">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[5] </w:t>
      </w:r>
      <w:r>
        <w:rPr>
          <w:rFonts w:eastAsia="Nimbus Sans"/>
          <w:b/>
          <w:i w:val="false"/>
          <w:color w:val="111827"/>
          <w:sz w:val="16"/>
        </w:rPr>
        <w:t>OWASP API Security deployment workflow</w:t>
      </w:r>
      <w:r>
        <w:rPr>
          <w:rFonts w:eastAsia="Nimbus Sans"/>
          <w:b w:val="false"/>
          <w:i w:val="false"/>
          <w:color w:val="667085"/>
          <w:sz w:val="16"/>
        </w:rPr>
        <w:t xml:space="preserve"> — Public workflow containing mkdocs gh-deploy --force. </w:t>
      </w:r>
      <w:hyperlink r:id="rId6">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[6] </w:t>
      </w:r>
      <w:r>
        <w:rPr>
          <w:rFonts w:eastAsia="Nimbus Sans"/>
          <w:b/>
          <w:i w:val="false"/>
          <w:color w:val="111827"/>
          <w:sz w:val="16"/>
        </w:rPr>
        <w:t>Later Wayback takeover capture</w:t>
      </w:r>
      <w:r>
        <w:rPr>
          <w:rFonts w:eastAsia="Nimbus Sans"/>
          <w:b w:val="false"/>
          <w:i w:val="false"/>
          <w:color w:val="667085"/>
          <w:sz w:val="16"/>
        </w:rPr>
        <w:t xml:space="preserve"> — NOX page still captured at 21:25:43 on 21 September. </w:t>
      </w:r>
      <w:hyperlink r:id="rId7">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[7] </w:t>
      </w:r>
      <w:r>
        <w:rPr>
          <w:rFonts w:eastAsia="Nimbus Sans"/>
          <w:b/>
          <w:i w:val="false"/>
          <w:color w:val="111827"/>
          <w:sz w:val="16"/>
        </w:rPr>
        <w:t>GitHub CNAME restoration commit 3d6e4df</w:t>
      </w:r>
      <w:r>
        <w:rPr>
          <w:rFonts w:eastAsia="Nimbus Sans"/>
          <w:b w:val="false"/>
          <w:i w:val="false"/>
          <w:color w:val="667085"/>
          <w:sz w:val="16"/>
        </w:rPr>
        <w:t xml:space="preserve"> — Custom-domain file re-added at 14:25:04 on 22 September. </w:t>
      </w:r>
      <w:hyperlink r:id="rId8">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[8] </w:t>
      </w:r>
      <w:r>
        <w:rPr>
          <w:rFonts w:eastAsia="Nimbus Sans"/>
          <w:b/>
          <w:i w:val="false"/>
          <w:color w:val="111827"/>
          <w:sz w:val="16"/>
        </w:rPr>
        <w:t>Current OWASP API Security site</w:t>
      </w:r>
      <w:r>
        <w:rPr>
          <w:rFonts w:eastAsia="Nimbus Sans"/>
          <w:b w:val="false"/>
          <w:i w:val="false"/>
          <w:color w:val="667085"/>
          <w:sz w:val="16"/>
        </w:rPr>
        <w:t xml:space="preserve"> — Restored project content. </w:t>
      </w:r>
      <w:hyperlink r:id="rId9">
        <w:r>
          <w:rPr>
            <w:rStyle w:val="Style"/>
            <w:color w:val="175CD3"/>
            <w:sz w:val="16"/>
            <w:u w:val="single"/>
          </w:rPr>
          <w:t>Open source</w:t>
        </w:r>
      </w:hyperlink>
    </w:p>
    <w:p>
      <w:pPr>
        <w:pStyle w:val="Heading2"/>
        <w:rPr/>
      </w:pPr>
      <w:r>
        <w:rPr/>
        <w:t>Technical and governance context</w:t>
      </w:r>
    </w:p>
    <w:p>
      <w:pPr>
        <w:pStyle w:val="Normal"/>
        <w:keepLines/>
        <w:spacing w:lineRule="auto" w:line="240" w:before="0" w:after="20"/>
        <w:rPr/>
      </w:pPr>
      <w:r>
        <w:rPr>
          <w:rFonts w:eastAsia="Nimbus Sans"/>
          <w:b/>
          <w:i w:val="false"/>
          <w:color w:val="0F766E"/>
          <w:sz w:val="16"/>
        </w:rPr>
        <w:t xml:space="preserve">[9] </w:t>
      </w:r>
      <w:r>
        <w:rPr>
          <w:rFonts w:eastAsia="Nimbus Sans"/>
          <w:b/>
          <w:i w:val="false"/>
          <w:color w:val="111827"/>
          <w:sz w:val="16"/>
        </w:rPr>
        <w:t>GitHub Docs — Troubleshooting custom domains and GitHub Pages</w:t>
      </w:r>
      <w:r>
        <w:rPr>
          <w:rFonts w:eastAsia="Nimbus Sans"/>
          <w:b w:val="false"/>
          <w:i w:val="false"/>
          <w:color w:val="667085"/>
          <w:sz w:val="16"/>
        </w:rPr>
        <w:t xml:space="preserve"> — Warns that static-site generators which force-push can overwrite CNAME. </w:t>
      </w:r>
      <w:hyperlink r:id="rId10">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[10] </w:t>
      </w:r>
      <w:r>
        <w:rPr>
          <w:rFonts w:eastAsia="Nimbus Sans"/>
          <w:b/>
          <w:i w:val="false"/>
          <w:color w:val="111827"/>
          <w:sz w:val="16"/>
        </w:rPr>
        <w:t>ICANN Lookup — owasp.org</w:t>
      </w:r>
      <w:r>
        <w:rPr>
          <w:rFonts w:eastAsia="Nimbus Sans"/>
          <w:b w:val="false"/>
          <w:i w:val="false"/>
          <w:color w:val="667085"/>
          <w:sz w:val="16"/>
        </w:rPr>
        <w:t xml:space="preserve"> — Registration data check; supplied WHOIS showed expiry in 2031. </w:t>
      </w:r>
      <w:hyperlink r:id="rId11">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[11] </w:t>
      </w:r>
      <w:r>
        <w:rPr>
          <w:rFonts w:eastAsia="Nimbus Sans"/>
          <w:b/>
          <w:i w:val="false"/>
          <w:color w:val="111827"/>
          <w:sz w:val="16"/>
        </w:rPr>
        <w:t>OWASP Subdomain Takeover Prevention Cheat Sheet</w:t>
      </w:r>
      <w:r>
        <w:rPr>
          <w:rFonts w:eastAsia="Nimbus Sans"/>
          <w:b w:val="false"/>
          <w:i w:val="false"/>
          <w:color w:val="667085"/>
          <w:sz w:val="16"/>
        </w:rPr>
        <w:t xml:space="preserve"> — Defines dangling-resource takeover and possible impact. </w:t>
      </w:r>
      <w:hyperlink r:id="rId12">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[12] </w:t>
      </w:r>
      <w:r>
        <w:rPr>
          <w:rFonts w:eastAsia="Nimbus Sans"/>
          <w:b/>
          <w:i w:val="false"/>
          <w:color w:val="111827"/>
          <w:sz w:val="16"/>
        </w:rPr>
        <w:t>NOX Offensive Security website</w:t>
      </w:r>
      <w:r>
        <w:rPr>
          <w:rFonts w:eastAsia="Nimbus Sans"/>
          <w:b w:val="false"/>
          <w:i w:val="false"/>
          <w:color w:val="667085"/>
          <w:sz w:val="16"/>
        </w:rPr>
        <w:t xml:space="preserve"> — Self-description, services, location and company identifier. </w:t>
      </w:r>
      <w:hyperlink r:id="rId13">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[13] </w:t>
      </w:r>
      <w:r>
        <w:rPr>
          <w:rFonts w:eastAsia="Nimbus Sans"/>
          <w:b/>
          <w:i w:val="false"/>
          <w:color w:val="111827"/>
          <w:sz w:val="16"/>
        </w:rPr>
        <w:t>Econodata — NOX company record</w:t>
      </w:r>
      <w:r>
        <w:rPr>
          <w:rFonts w:eastAsia="Nimbus Sans"/>
          <w:b w:val="false"/>
          <w:i w:val="false"/>
          <w:color w:val="667085"/>
          <w:sz w:val="16"/>
        </w:rPr>
        <w:t xml:space="preserve"> — Registry-derived legal name, CNPJ, opening date and listed administrators. </w:t>
      </w:r>
      <w:hyperlink r:id="rId14">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[14] </w:t>
      </w:r>
      <w:r>
        <w:rPr>
          <w:rFonts w:eastAsia="Nimbus Sans"/>
          <w:b/>
          <w:i w:val="false"/>
          <w:color w:val="111827"/>
          <w:sz w:val="16"/>
        </w:rPr>
        <w:t>LinkedIn — NOX Offensive Security</w:t>
      </w:r>
      <w:r>
        <w:rPr>
          <w:rFonts w:eastAsia="Nimbus Sans"/>
          <w:b w:val="false"/>
          <w:i w:val="false"/>
          <w:color w:val="667085"/>
          <w:sz w:val="16"/>
        </w:rPr>
        <w:t xml:space="preserve"> — Public company profile describing a 2026 foundation and São Paulo base. </w:t>
      </w:r>
      <w:hyperlink r:id="rId15">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[15] </w:t>
      </w:r>
      <w:r>
        <w:rPr>
          <w:rFonts w:eastAsia="Nimbus Sans"/>
          <w:b/>
          <w:i w:val="false"/>
          <w:color w:val="111827"/>
          <w:sz w:val="16"/>
        </w:rPr>
        <w:t>Public X discussion of the takeover</w:t>
      </w:r>
      <w:r>
        <w:rPr>
          <w:rFonts w:eastAsia="Nimbus Sans"/>
          <w:b w:val="false"/>
          <w:i w:val="false"/>
          <w:color w:val="667085"/>
          <w:sz w:val="16"/>
        </w:rPr>
        <w:t xml:space="preserve"> — Indexed thread containing an unverified reply describing a temporary protective measure. </w:t>
      </w:r>
      <w:hyperlink r:id="rId16">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[16] </w:t>
      </w:r>
      <w:r>
        <w:rPr>
          <w:rFonts w:eastAsia="Nimbus Sans"/>
          <w:b/>
          <w:i w:val="false"/>
          <w:color w:val="111827"/>
          <w:sz w:val="16"/>
        </w:rPr>
        <w:t>Reddit comment by u/vanderaj</w:t>
      </w:r>
      <w:r>
        <w:rPr>
          <w:rFonts w:eastAsia="Nimbus Sans"/>
          <w:b w:val="false"/>
          <w:i w:val="false"/>
          <w:color w:val="667085"/>
          <w:sz w:val="16"/>
        </w:rPr>
        <w:t xml:space="preserve"> — Public statement attributed to OWASP's Executive Director. </w:t>
      </w:r>
      <w:hyperlink r:id="rId17">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[17] </w:t>
      </w:r>
      <w:r>
        <w:rPr>
          <w:rFonts w:eastAsia="Nimbus Sans"/>
          <w:b/>
          <w:i w:val="false"/>
          <w:color w:val="111827"/>
          <w:sz w:val="16"/>
        </w:rPr>
        <w:t>Brazilian Penal Code Article 154-A</w:t>
      </w:r>
      <w:r>
        <w:rPr>
          <w:rFonts w:eastAsia="Nimbus Sans"/>
          <w:b w:val="false"/>
          <w:i w:val="false"/>
          <w:color w:val="667085"/>
          <w:sz w:val="16"/>
        </w:rPr>
        <w:t xml:space="preserve"> — Official compiled text addressing specified unauthorised computer-device invasion. </w:t>
      </w:r>
      <w:hyperlink r:id="rId18">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[18] </w:t>
      </w:r>
      <w:r>
        <w:rPr>
          <w:rFonts w:eastAsia="Nimbus Sans"/>
          <w:b/>
          <w:i w:val="false"/>
          <w:color w:val="111827"/>
          <w:sz w:val="16"/>
        </w:rPr>
        <w:t>OWASP staff page</w:t>
      </w:r>
      <w:r>
        <w:rPr>
          <w:rFonts w:eastAsia="Nimbus Sans"/>
          <w:b w:val="false"/>
          <w:i w:val="false"/>
          <w:color w:val="667085"/>
          <w:sz w:val="16"/>
        </w:rPr>
        <w:t xml:space="preserve"> — Andrew van der Stock listed as Executive Director. </w:t>
      </w:r>
      <w:hyperlink r:id="rId19">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[19] </w:t>
      </w:r>
      <w:r>
        <w:rPr>
          <w:rFonts w:eastAsia="Nimbus Sans"/>
          <w:b/>
          <w:i w:val="false"/>
          <w:color w:val="111827"/>
          <w:sz w:val="16"/>
        </w:rPr>
        <w:t>OWASP Top 10 repository</w:t>
      </w:r>
      <w:r>
        <w:rPr>
          <w:rFonts w:eastAsia="Nimbus Sans"/>
          <w:b w:val="false"/>
          <w:i w:val="false"/>
          <w:color w:val="667085"/>
          <w:sz w:val="16"/>
        </w:rPr>
        <w:t xml:space="preserve"> — Public association of Andrew van der Stock with the vanderaj handle. </w:t>
      </w:r>
      <w:hyperlink r:id="rId20">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[20] </w:t>
      </w:r>
      <w:r>
        <w:rPr>
          <w:rFonts w:eastAsia="Nimbus Sans"/>
          <w:b/>
          <w:i w:val="false"/>
          <w:color w:val="111827"/>
          <w:sz w:val="16"/>
        </w:rPr>
        <w:t>GitHub Docs — Verifying a custom domain</w:t>
      </w:r>
      <w:r>
        <w:rPr>
          <w:rFonts w:eastAsia="Nimbus Sans"/>
          <w:b w:val="false"/>
          <w:i w:val="false"/>
          <w:color w:val="667085"/>
          <w:sz w:val="16"/>
        </w:rPr>
        <w:t xml:space="preserve"> — Explains domain verification as a takeover prevention control. </w:t>
      </w:r>
      <w:hyperlink r:id="rId21">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[21] </w:t>
      </w:r>
      <w:r>
        <w:rPr>
          <w:rFonts w:eastAsia="Nimbus Sans"/>
          <w:b/>
          <w:i w:val="false"/>
          <w:color w:val="111827"/>
          <w:sz w:val="16"/>
        </w:rPr>
        <w:t>OWASP Web Security Testing Guide — Subdomain Takeover</w:t>
      </w:r>
      <w:r>
        <w:rPr>
          <w:rFonts w:eastAsia="Nimbus Sans"/>
          <w:b w:val="false"/>
          <w:i w:val="false"/>
          <w:color w:val="667085"/>
          <w:sz w:val="16"/>
        </w:rPr>
        <w:t xml:space="preserve"> — Describes a successful takeover as control of a victim subdomain. </w:t>
      </w:r>
      <w:hyperlink r:id="rId22">
        <w:r>
          <w:rPr>
            <w:rStyle w:val="Style"/>
            <w:color w:val="175CD3"/>
            <w:sz w:val="16"/>
            <w:u w:val="single"/>
          </w:rPr>
          <w:t>Open source</w:t>
        </w:r>
      </w:hyperlink>
    </w:p>
    <w:p>
      <w:pPr>
        <w:pStyle w:val="Normal"/>
        <w:keepLines/>
        <w:spacing w:lineRule="auto" w:line="240" w:before="0" w:after="20"/>
        <w:rPr/>
      </w:pPr>
      <w:r>
        <w:rPr>
          <w:rFonts w:eastAsia="Nimbus Sans"/>
          <w:b/>
          <w:i w:val="false"/>
          <w:color w:val="0F766E"/>
          <w:sz w:val="16"/>
        </w:rPr>
        <w:t xml:space="preserve">[22] </w:t>
      </w:r>
      <w:r>
        <w:rPr>
          <w:rFonts w:eastAsia="Nimbus Sans"/>
          <w:b/>
          <w:i w:val="false"/>
          <w:color w:val="111827"/>
          <w:sz w:val="16"/>
        </w:rPr>
        <w:t>OWASP security reporting page</w:t>
      </w:r>
      <w:r>
        <w:rPr>
          <w:rFonts w:eastAsia="Nimbus Sans"/>
          <w:b w:val="false"/>
          <w:i w:val="false"/>
          <w:color w:val="667085"/>
          <w:sz w:val="16"/>
        </w:rPr>
        <w:t xml:space="preserve"> — Official vulnerability disclosure route and Bugcrowd VDP. </w:t>
      </w:r>
      <w:hyperlink r:id="rId23">
        <w:r>
          <w:rPr>
            <w:rStyle w:val="Style"/>
            <w:color w:val="175CD3"/>
            <w:sz w:val="16"/>
            <w:u w:val="single"/>
          </w:rPr>
          <w:t>Open source</w:t>
        </w:r>
      </w:hyperlink>
    </w:p>
    <w:p>
      <w:pPr>
        <w:pStyle w:val="Heading2"/>
        <w:rPr/>
      </w:pPr>
      <w:r>
        <w:rPr/>
        <w:t>Closing position</w:t>
      </w:r>
    </w:p>
    <w:tbl>
      <w:tblPr>
        <w:tblW w:w="10080" w:type="dxa"/>
        <w:jc w:val="center"/>
        <w:tblInd w:w="0" w:type="dxa"/>
        <w:tblLayout w:type="fixed"/>
        <w:tblCellMar>
          <w:top w:w="0" w:type="dxa"/>
          <w:left w:w="0" w:type="dxa"/>
          <w:bottom w:w="0" w:type="dxa"/>
          <w:right w:w="0" w:type="dxa"/>
        </w:tblCellMar>
      </w:tblPr>
      <w:tblGrid>
        <w:gridCol w:w="5040"/>
        <w:gridCol w:w="5040"/>
      </w:tblGrid>
      <w:tr>
        <w:trPr>
          <w:cantSplit/>
        </w:trPr>
        <w:tc>
          <w:tcPr>
            <w:tcW w:w="5040" w:type="dxa"/>
            <w:tcBorders/>
            <w:shd w:fill="0F766E" w:val="clear"/>
          </w:tcPr>
          <w:p>
            <w:pPr>
              <w:pStyle w:val="Normal"/>
              <w:widowControl/>
              <w:bidi w:val="0"/>
              <w:spacing w:lineRule="auto" w:line="252" w:before="0" w:after="100"/>
              <w:jc w:val="left"/>
              <w:rPr/>
            </w:pPr>
            <w:r>
              <w:rPr/>
            </w:r>
          </w:p>
        </w:tc>
        <w:tc>
          <w:tcPr>
            <w:tcW w:w="5040" w:type="dxa"/>
            <w:tcBorders/>
            <w:shd w:fill="17243A" w:val="clear"/>
            <w:tcMar>
              <w:top w:w="120" w:type="dxa"/>
              <w:left w:w="170" w:type="dxa"/>
              <w:bottom w:w="120" w:type="dxa"/>
              <w:right w:w="170" w:type="dxa"/>
            </w:tcMar>
          </w:tcPr>
          <w:p>
            <w:pPr>
              <w:pStyle w:val="Normal"/>
              <w:spacing w:lineRule="auto" w:line="250" w:before="0" w:after="0"/>
              <w:rPr/>
            </w:pPr>
            <w:r>
              <w:rPr>
                <w:rFonts w:eastAsia="Nimbus Sans"/>
                <w:b/>
                <w:i w:val="false"/>
                <w:color w:val="0F766E"/>
                <w:sz w:val="16"/>
              </w:rPr>
              <w:t>IN ONE SENTENCE</w:t>
              <w:br/>
            </w:r>
            <w:r>
              <w:rPr>
                <w:rFonts w:eastAsia="Nimbus Sans"/>
                <w:b/>
                <w:i w:val="false"/>
                <w:color w:val="FFFFFF"/>
                <w:sz w:val="20"/>
              </w:rPr>
              <w:t>The incident was a real subdomain compromise caused by an avoidable GitHub Pages binding failure; the deeper-hack narrative is unproved, the expired-domain narrative is unsupported, and OWASP's credibility now depends on transparent, durable remediation.</w:t>
            </w:r>
          </w:p>
        </w:tc>
      </w:tr>
    </w:tbl>
    <w:p>
      <w:pPr>
        <w:pStyle w:val="Normal"/>
        <w:widowControl/>
        <w:bidi w:val="0"/>
        <w:spacing w:lineRule="auto" w:line="252" w:before="0" w:after="100"/>
        <w:jc w:val="left"/>
        <w:rPr/>
      </w:pPr>
      <w:r>
        <w:rPr/>
      </w:r>
    </w:p>
    <w:sectPr>
      <w:headerReference w:type="default" r:id="rId24"/>
      <w:headerReference w:type="first" r:id="rId25"/>
      <w:footerReference w:type="default" r:id="rId26"/>
      <w:footerReference w:type="first" r:id="rId27"/>
      <w:type w:val="nextPage"/>
      <w:pgSz w:w="12240" w:h="15840"/>
      <w:pgMar w:left="1080" w:right="1080" w:gutter="0" w:header="374" w:top="893" w:footer="360" w:bottom="86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Noto Serif">
    <w:charset w:val="01"/>
    <w:family w:val="roman"/>
    <w:pitch w:val="variable"/>
  </w:font>
  <w:font w:name="Cambria">
    <w:charset w:val="01"/>
    <w:family w:val="roman"/>
    <w:pitch w:val="variable"/>
  </w:font>
  <w:font w:name="Nimbus Sans">
    <w:charset w:val="01"/>
    <w:family w:val="roman"/>
    <w:pitch w:val="variable"/>
  </w:font>
  <w:font w:name="Calibri">
    <w:charset w:val="01"/>
    <w:family w:val="roman"/>
    <w:pitch w:val="variable"/>
  </w:font>
  <w:font w:name="Courier">
    <w:altName w:val="Courier New"/>
    <w:charset w:val="01"/>
    <w:family w:val="roman"/>
    <w:pitch w:val="variable"/>
  </w:font>
  <w:font w:name="Noto Sans">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52" w:before="0" w:after="0"/>
      <w:jc w:val="right"/>
      <w:rPr/>
    </w:pPr>
    <w:r>
      <w:rPr>
        <w:rFonts w:eastAsia="Nimbus Sans"/>
        <w:b w:val="false"/>
        <w:i w:val="false"/>
        <w:color w:val="667085"/>
        <w:sz w:val="14"/>
      </w:rPr>
      <w:t xml:space="preserve">22 SEPTEMBER 2026   •   </w:t>
    </w:r>
    <w:r>
      <w:rPr/>
      <w:fldChar w:fldCharType="begin"/>
    </w:r>
    <w:r>
      <w:rPr/>
      <w:instrText xml:space="preserve"> PAGE </w:instrText>
    </w:r>
    <w:r>
      <w:rPr/>
      <w:fldChar w:fldCharType="separate"/>
    </w:r>
    <w:r>
      <w:rPr/>
      <w:t>12</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6" w:space="4" w:color="D0D5DD"/>
      </w:pBdr>
      <w:spacing w:lineRule="auto" w:line="252" w:before="0" w:after="0"/>
      <w:jc w:val="left"/>
      <w:rPr/>
    </w:pPr>
    <w:r>
      <w:rPr>
        <w:rFonts w:eastAsia="Nimbus Sans"/>
        <w:b/>
        <w:i w:val="false"/>
        <w:color w:val="667085"/>
        <w:sz w:val="14"/>
      </w:rPr>
      <w:t>OWASP API SECURITY SUBDOMAIN TAKEOVER</w:t>
    </w:r>
    <w:r>
      <w:rPr>
        <w:rFonts w:eastAsia="Nimbus Sans"/>
        <w:b w:val="false"/>
        <w:i w:val="false"/>
        <w:color w:val="667085"/>
        <w:sz w:val="14"/>
      </w:rPr>
      <w:t xml:space="preserve">   /   PUBLIC-SOURCE ASSESSMENT</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Noto Kufi Arabic"/>
        <w:sz w:val="22"/>
        <w:szCs w:val="22"/>
        <w:lang w:val="en-US" w:eastAsia="en-US" w:bidi="ar-SA"/>
      </w:rPr>
    </w:rPrDefault>
    <w:pPrDefault>
      <w:pPr>
        <w:suppressAutoHyphens w:val="true"/>
      </w:pPr>
    </w:pPrDefault>
  </w:docDefaults>
  <w:style w:type="paragraph" w:styleId="Normal">
    <w:name w:val="Normal"/>
    <w:qFormat/>
    <w:pPr>
      <w:widowControl/>
      <w:kinsoku w:val="true"/>
      <w:overflowPunct w:val="true"/>
      <w:autoSpaceDE w:val="true"/>
      <w:bidi w:val="0"/>
      <w:spacing w:lineRule="auto" w:line="252" w:before="0" w:after="100"/>
      <w:jc w:val="left"/>
    </w:pPr>
    <w:rPr>
      <w:rFonts w:ascii="Nimbus Sans" w:hAnsi="Nimbus Sans" w:eastAsia="Nimbus Sans"/>
      <w:color w:val="111827"/>
      <w:kern w:val="0"/>
      <w:sz w:val="19"/>
      <w:szCs w:val="22"/>
      <w:lang w:val="en-US" w:eastAsia="en-US" w:bidi="ar-SA"/>
    </w:rPr>
  </w:style>
  <w:style w:type="paragraph" w:styleId="Heading1">
    <w:name w:val="heading 1"/>
    <w:basedOn w:val="Normal"/>
    <w:next w:val="Normal"/>
    <w:link w:val="Heading1Char"/>
    <w:qFormat/>
    <w:pPr>
      <w:keepNext w:val="true"/>
      <w:keepLines/>
      <w:numPr>
        <w:ilvl w:val="0"/>
        <w:numId w:val="0"/>
      </w:numPr>
      <w:spacing w:before="0" w:after="160"/>
      <w:outlineLvl w:val="0"/>
    </w:pPr>
    <w:rPr>
      <w:rFonts w:ascii="Calibri" w:hAnsi="Calibri" w:eastAsia="ＭＳ ゴシック" w:cs="Noto Kufi Arabic"/>
      <w:b/>
      <w:bCs/>
      <w:color w:val="111827"/>
      <w:sz w:val="38"/>
      <w:szCs w:val="28"/>
    </w:rPr>
  </w:style>
  <w:style w:type="paragraph" w:styleId="Heading2">
    <w:name w:val="heading 2"/>
    <w:basedOn w:val="Normal"/>
    <w:next w:val="Normal"/>
    <w:link w:val="Heading2Char"/>
    <w:qFormat/>
    <w:pPr>
      <w:keepNext w:val="true"/>
      <w:keepLines/>
      <w:numPr>
        <w:ilvl w:val="0"/>
        <w:numId w:val="0"/>
      </w:numPr>
      <w:spacing w:before="200" w:after="100"/>
      <w:outlineLvl w:val="1"/>
    </w:pPr>
    <w:rPr>
      <w:rFonts w:ascii="Calibri" w:hAnsi="Calibri" w:eastAsia="ＭＳ ゴシック" w:cs="Noto Kufi Arabic"/>
      <w:b/>
      <w:bCs/>
      <w:color w:val="111827"/>
      <w:sz w:val="25"/>
      <w:szCs w:val="26"/>
    </w:rPr>
  </w:style>
  <w:style w:type="paragraph" w:styleId="Heading3">
    <w:name w:val="heading 3"/>
    <w:basedOn w:val="Normal"/>
    <w:next w:val="Normal"/>
    <w:link w:val="Heading3Char"/>
    <w:qFormat/>
    <w:pPr>
      <w:keepNext w:val="true"/>
      <w:keepLines/>
      <w:numPr>
        <w:ilvl w:val="0"/>
        <w:numId w:val="0"/>
      </w:numPr>
      <w:spacing w:before="140" w:after="60"/>
      <w:outlineLvl w:val="2"/>
    </w:pPr>
    <w:rPr>
      <w:rFonts w:ascii="Calibri" w:hAnsi="Calibri" w:eastAsia="ＭＳ ゴシック" w:cs="Noto Kufi Arabic"/>
      <w:b/>
      <w:bCs/>
      <w:color w:val="111827"/>
      <w:sz w:val="21"/>
    </w:rPr>
  </w:style>
  <w:style w:type="paragraph" w:styleId="Heading4">
    <w:name w:val="heading 4"/>
    <w:basedOn w:val="Normal"/>
    <w:next w:val="Normal"/>
    <w:link w:val="Heading4Char"/>
    <w:qFormat/>
    <w:pPr>
      <w:keepNext w:val="true"/>
      <w:keepLines/>
      <w:numPr>
        <w:ilvl w:val="0"/>
        <w:numId w:val="0"/>
      </w:numPr>
      <w:spacing w:before="200" w:after="0"/>
      <w:outlineLvl w:val="3"/>
    </w:pPr>
    <w:rPr>
      <w:rFonts w:ascii="Calibri" w:hAnsi="Calibri" w:eastAsia="ＭＳ ゴシック" w:cs="Noto Kufi Arabic"/>
      <w:b/>
      <w:bCs/>
      <w:i/>
      <w:iCs/>
      <w:color w:themeColor="accent1" w:val="4F81BD"/>
    </w:rPr>
  </w:style>
  <w:style w:type="paragraph" w:styleId="Heading5">
    <w:name w:val="heading 5"/>
    <w:basedOn w:val="Normal"/>
    <w:next w:val="Normal"/>
    <w:link w:val="Heading5Char"/>
    <w:qFormat/>
    <w:pPr>
      <w:keepNext w:val="true"/>
      <w:keepLines/>
      <w:numPr>
        <w:ilvl w:val="0"/>
        <w:numId w:val="0"/>
      </w:numPr>
      <w:spacing w:before="200" w:after="0"/>
      <w:outlineLvl w:val="4"/>
    </w:pPr>
    <w:rPr>
      <w:rFonts w:ascii="Calibri" w:hAnsi="Calibri" w:eastAsia="ＭＳ ゴシック" w:cs="Noto Kufi Arabic"/>
      <w:color w:themeColor="accent1" w:themeShade="7f" w:val="243F60"/>
    </w:rPr>
  </w:style>
  <w:style w:type="paragraph" w:styleId="Heading6">
    <w:name w:val="heading 6"/>
    <w:basedOn w:val="Normal"/>
    <w:next w:val="Normal"/>
    <w:link w:val="Heading6Char"/>
    <w:qFormat/>
    <w:pPr>
      <w:keepNext w:val="true"/>
      <w:keepLines/>
      <w:numPr>
        <w:ilvl w:val="0"/>
        <w:numId w:val="0"/>
      </w:numPr>
      <w:spacing w:before="200" w:after="0"/>
      <w:outlineLvl w:val="5"/>
    </w:pPr>
    <w:rPr>
      <w:rFonts w:ascii="Calibri" w:hAnsi="Calibri" w:eastAsia="ＭＳ ゴシック" w:cs="Noto Kufi Arabic"/>
      <w:i/>
      <w:iCs/>
      <w:color w:themeColor="accent1" w:themeShade="7f" w:val="243F60"/>
    </w:rPr>
  </w:style>
  <w:style w:type="paragraph" w:styleId="Heading7">
    <w:name w:val="heading 7"/>
    <w:basedOn w:val="Normal"/>
    <w:next w:val="Normal"/>
    <w:link w:val="Heading7Char"/>
    <w:qFormat/>
    <w:pPr>
      <w:keepNext w:val="true"/>
      <w:keepLines/>
      <w:numPr>
        <w:ilvl w:val="0"/>
        <w:numId w:val="0"/>
      </w:numPr>
      <w:spacing w:before="200" w:after="0"/>
      <w:outlineLvl w:val="6"/>
    </w:pPr>
    <w:rPr>
      <w:rFonts w:ascii="Calibri" w:hAnsi="Calibri" w:eastAsia="ＭＳ ゴシック" w:cs="Noto Kufi Arabic"/>
      <w:i/>
      <w:iCs/>
      <w:color w:themeColor="text1" w:themeTint="bf" w:val="404040"/>
    </w:rPr>
  </w:style>
  <w:style w:type="paragraph" w:styleId="Heading8">
    <w:name w:val="heading 8"/>
    <w:basedOn w:val="Normal"/>
    <w:next w:val="Normal"/>
    <w:link w:val="Heading8Char"/>
    <w:qFormat/>
    <w:pPr>
      <w:keepNext w:val="true"/>
      <w:keepLines/>
      <w:numPr>
        <w:ilvl w:val="0"/>
        <w:numId w:val="0"/>
      </w:numPr>
      <w:spacing w:before="200" w:after="0"/>
      <w:outlineLvl w:val="7"/>
    </w:pPr>
    <w:rPr>
      <w:rFonts w:ascii="Calibri" w:hAnsi="Calibri" w:eastAsia="ＭＳ ゴシック" w:cs="Noto Kufi Arabic"/>
      <w:color w:themeColor="accent1" w:val="4F81BD"/>
      <w:sz w:val="20"/>
      <w:szCs w:val="20"/>
    </w:rPr>
  </w:style>
  <w:style w:type="paragraph" w:styleId="Heading9">
    <w:name w:val="heading 9"/>
    <w:basedOn w:val="Normal"/>
    <w:next w:val="Normal"/>
    <w:link w:val="Heading9Char"/>
    <w:qFormat/>
    <w:pPr>
      <w:keepNext w:val="true"/>
      <w:keepLines/>
      <w:numPr>
        <w:ilvl w:val="0"/>
        <w:numId w:val="0"/>
      </w:numPr>
      <w:spacing w:before="200" w:after="0"/>
      <w:outlineLvl w:val="8"/>
    </w:pPr>
    <w:rPr>
      <w:rFonts w:ascii="Calibri" w:hAnsi="Calibri" w:eastAsia="ＭＳ ゴシック" w:cs="Noto Kufi Arabic"/>
      <w:i/>
      <w:iCs/>
      <w:color w:themeColor="text1" w:themeTint="bf" w:val="404040"/>
      <w:sz w:val="20"/>
      <w:szCs w:val="20"/>
    </w:rPr>
  </w:style>
  <w:style w:type="character" w:styleId="HeaderChar">
    <w:name w:val="Header Char"/>
    <w:basedOn w:val="DefaultParagraphFont"/>
    <w:link w:val="Header"/>
    <w:qFormat/>
    <w:rPr/>
  </w:style>
  <w:style w:type="character" w:styleId="FooterChar">
    <w:name w:val="Footer Char"/>
    <w:basedOn w:val="DefaultParagraphFont"/>
    <w:link w:val="Footer"/>
    <w:qFormat/>
    <w:rPr/>
  </w:style>
  <w:style w:type="character" w:styleId="DefaultParagraphFont">
    <w:name w:val="Default Paragraph Font"/>
    <w:qFormat/>
    <w:rPr/>
  </w:style>
  <w:style w:type="character" w:styleId="Heading1Char">
    <w:name w:val="Heading 1 Char"/>
    <w:basedOn w:val="DefaultParagraphFont"/>
    <w:link w:val="Heading1"/>
    <w:qFormat/>
    <w:rPr>
      <w:rFonts w:ascii="Calibri" w:hAnsi="Calibri" w:eastAsia="ＭＳ ゴシック" w:cs="Noto Kufi Arabic"/>
      <w:b/>
      <w:bCs/>
      <w:color w:themeColor="accent1" w:themeShade="bf" w:val="365F91"/>
      <w:sz w:val="28"/>
      <w:szCs w:val="28"/>
    </w:rPr>
  </w:style>
  <w:style w:type="character" w:styleId="Heading2Char">
    <w:name w:val="Heading 2 Char"/>
    <w:basedOn w:val="DefaultParagraphFont"/>
    <w:link w:val="Heading2"/>
    <w:qFormat/>
    <w:rPr>
      <w:rFonts w:ascii="Calibri" w:hAnsi="Calibri" w:eastAsia="ＭＳ ゴシック" w:cs="Noto Kufi Arabic"/>
      <w:b/>
      <w:bCs/>
      <w:color w:themeColor="accent1" w:val="4F81BD"/>
      <w:sz w:val="26"/>
      <w:szCs w:val="26"/>
    </w:rPr>
  </w:style>
  <w:style w:type="character" w:styleId="Heading3Char">
    <w:name w:val="Heading 3 Char"/>
    <w:basedOn w:val="DefaultParagraphFont"/>
    <w:link w:val="Heading3"/>
    <w:qFormat/>
    <w:rPr>
      <w:rFonts w:ascii="Calibri" w:hAnsi="Calibri" w:eastAsia="ＭＳ ゴシック" w:cs="Noto Kufi Arabic"/>
      <w:b/>
      <w:bCs/>
      <w:color w:themeColor="accent1" w:val="4F81BD"/>
    </w:rPr>
  </w:style>
  <w:style w:type="character" w:styleId="TitleChar">
    <w:name w:val="Title Char"/>
    <w:basedOn w:val="DefaultParagraphFont"/>
    <w:link w:val="Title"/>
    <w:qFormat/>
    <w:rPr>
      <w:rFonts w:ascii="Calibri" w:hAnsi="Calibri" w:eastAsia="ＭＳ ゴシック" w:cs="Noto Kufi Arabic"/>
      <w:color w:themeColor="text2" w:themeShade="bf" w:val="17365D"/>
      <w:spacing w:val="5"/>
      <w:kern w:val="2"/>
      <w:sz w:val="52"/>
      <w:szCs w:val="52"/>
    </w:rPr>
  </w:style>
  <w:style w:type="character" w:styleId="SubtitleChar">
    <w:name w:val="Subtitle Char"/>
    <w:basedOn w:val="DefaultParagraphFont"/>
    <w:link w:val="Subtitle"/>
    <w:qFormat/>
    <w:rPr>
      <w:rFonts w:ascii="Calibri" w:hAnsi="Calibri" w:eastAsia="ＭＳ ゴシック" w:cs="Noto Kufi Arabic"/>
      <w:i/>
      <w:iCs/>
      <w:color w:themeColor="accent1"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link w:val="BodyText2"/>
    <w:qFormat/>
    <w:rPr/>
  </w:style>
  <w:style w:type="character" w:styleId="BodyText3Char">
    <w:name w:val="Body Text 3 Char"/>
    <w:basedOn w:val="DefaultParagraphFont"/>
    <w:link w:val="BodyText3"/>
    <w:qFormat/>
    <w:rPr>
      <w:sz w:val="16"/>
      <w:szCs w:val="16"/>
    </w:rPr>
  </w:style>
  <w:style w:type="character" w:styleId="MacroTextChar">
    <w:name w:val="Macro Text Char"/>
    <w:basedOn w:val="DefaultParagraphFont"/>
    <w:link w:val="MacroText"/>
    <w:qFormat/>
    <w:rPr>
      <w:rFonts w:ascii="Courier" w:hAnsi="Courier"/>
      <w:sz w:val="20"/>
      <w:szCs w:val="20"/>
    </w:rPr>
  </w:style>
  <w:style w:type="character" w:styleId="QuoteChar">
    <w:name w:val="Quote Char"/>
    <w:basedOn w:val="DefaultParagraphFont"/>
    <w:link w:val="Quote"/>
    <w:qFormat/>
    <w:rPr>
      <w:i/>
      <w:iCs/>
      <w:color w:themeColor="text1" w:val="000000"/>
    </w:rPr>
  </w:style>
  <w:style w:type="character" w:styleId="Heading4Char">
    <w:name w:val="Heading 4 Char"/>
    <w:basedOn w:val="DefaultParagraphFont"/>
    <w:link w:val="Heading4"/>
    <w:qFormat/>
    <w:rPr>
      <w:rFonts w:ascii="Calibri" w:hAnsi="Calibri" w:eastAsia="ＭＳ ゴシック" w:cs="Noto Kufi Arabic"/>
      <w:b/>
      <w:bCs/>
      <w:i/>
      <w:iCs/>
      <w:color w:themeColor="accent1" w:val="4F81BD"/>
    </w:rPr>
  </w:style>
  <w:style w:type="character" w:styleId="Heading5Char">
    <w:name w:val="Heading 5 Char"/>
    <w:basedOn w:val="DefaultParagraphFont"/>
    <w:link w:val="Heading5"/>
    <w:qFormat/>
    <w:rPr>
      <w:rFonts w:ascii="Calibri" w:hAnsi="Calibri" w:eastAsia="ＭＳ ゴシック" w:cs="Noto Kufi Arabic"/>
      <w:color w:themeColor="accent1" w:themeShade="7f" w:val="243F60"/>
    </w:rPr>
  </w:style>
  <w:style w:type="character" w:styleId="Heading6Char">
    <w:name w:val="Heading 6 Char"/>
    <w:basedOn w:val="DefaultParagraphFont"/>
    <w:link w:val="Heading6"/>
    <w:qFormat/>
    <w:rPr>
      <w:rFonts w:ascii="Calibri" w:hAnsi="Calibri" w:eastAsia="ＭＳ ゴシック" w:cs="Noto Kufi Arabic"/>
      <w:i/>
      <w:iCs/>
      <w:color w:themeColor="accent1" w:themeShade="7f" w:val="243F60"/>
    </w:rPr>
  </w:style>
  <w:style w:type="character" w:styleId="Heading7Char">
    <w:name w:val="Heading 7 Char"/>
    <w:basedOn w:val="DefaultParagraphFont"/>
    <w:link w:val="Heading7"/>
    <w:qFormat/>
    <w:rPr>
      <w:rFonts w:ascii="Calibri" w:hAnsi="Calibri" w:eastAsia="ＭＳ ゴシック" w:cs="Noto Kufi Arabic"/>
      <w:i/>
      <w:iCs/>
      <w:color w:themeColor="text1" w:themeTint="bf" w:val="404040"/>
    </w:rPr>
  </w:style>
  <w:style w:type="character" w:styleId="Heading8Char">
    <w:name w:val="Heading 8 Char"/>
    <w:basedOn w:val="DefaultParagraphFont"/>
    <w:link w:val="Heading8"/>
    <w:qFormat/>
    <w:rPr>
      <w:rFonts w:ascii="Calibri" w:hAnsi="Calibri" w:eastAsia="ＭＳ ゴシック" w:cs="Noto Kufi Arabic"/>
      <w:color w:themeColor="accent1" w:val="4F81BD"/>
      <w:sz w:val="20"/>
      <w:szCs w:val="20"/>
    </w:rPr>
  </w:style>
  <w:style w:type="character" w:styleId="Heading9Char">
    <w:name w:val="Heading 9 Char"/>
    <w:basedOn w:val="DefaultParagraphFont"/>
    <w:link w:val="Heading9"/>
    <w:qFormat/>
    <w:rPr>
      <w:rFonts w:ascii="Calibri" w:hAnsi="Calibri" w:eastAsia="ＭＳ ゴシック" w:cs="Noto Kufi Arabic"/>
      <w:i/>
      <w:iCs/>
      <w:color w:themeColor="text1" w:themeTint="bf" w:val="40404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IntenseQuoteChar">
    <w:name w:val="Intense Quote Char"/>
    <w:basedOn w:val="DefaultParagraphFont"/>
    <w:link w:val="IntenseQuote"/>
    <w:qFormat/>
    <w:rPr>
      <w:b/>
      <w:bCs/>
      <w:i/>
      <w:iCs/>
      <w:color w:themeColor="accent1" w:val="4F81BD"/>
    </w:rPr>
  </w:style>
  <w:style w:type="character" w:styleId="SubtleEmphasis">
    <w:name w:val="Subtle Emphasis"/>
    <w:basedOn w:val="DefaultParagraphFont"/>
    <w:qFormat/>
    <w:rPr>
      <w:i/>
      <w:iCs/>
      <w:color w:themeColor="text1" w:themeTint="7f" w:val="808080"/>
    </w:rPr>
  </w:style>
  <w:style w:type="character" w:styleId="IntenseEmphasis">
    <w:name w:val="Intense Emphasis"/>
    <w:basedOn w:val="DefaultParagraphFont"/>
    <w:qFormat/>
    <w:rPr>
      <w:b/>
      <w:bCs/>
      <w:i/>
      <w:iCs/>
      <w:color w:themeColor="accent1" w:val="4F81BD"/>
    </w:rPr>
  </w:style>
  <w:style w:type="character" w:styleId="SubtleReference">
    <w:name w:val="Subtle Reference"/>
    <w:basedOn w:val="DefaultParagraphFont"/>
    <w:qFormat/>
    <w:rPr>
      <w:smallCaps/>
      <w:color w:themeColor="accent2" w:val="C0504D"/>
      <w:u w:val="single"/>
    </w:rPr>
  </w:style>
  <w:style w:type="character" w:styleId="IntenseReference">
    <w:name w:val="Intense Reference"/>
    <w:basedOn w:val="DefaultParagraphFont"/>
    <w:qFormat/>
    <w:rPr>
      <w:b/>
      <w:bCs/>
      <w:smallCaps/>
      <w:color w:themeColor="accent2" w:val="C0504D"/>
      <w:spacing w:val="5"/>
      <w:u w:val="single"/>
    </w:rPr>
  </w:style>
  <w:style w:type="character" w:styleId="BookTitle">
    <w:name w:val="Book Title"/>
    <w:basedOn w:val="DefaultParagraphFont"/>
    <w:qFormat/>
    <w:rPr>
      <w:b/>
      <w:bCs/>
      <w:smallCaps/>
      <w:spacing w:val="5"/>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Noto Sans" w:hAnsi="Noto Sans" w:eastAsia="Noto Sans" w:cs="FreeSans"/>
      <w:sz w:val="28"/>
      <w:szCs w:val="28"/>
    </w:rPr>
  </w:style>
  <w:style w:type="paragraph" w:styleId="BodyText">
    <w:name w:val="Body Text"/>
    <w:basedOn w:val="Normal"/>
    <w:link w:val="BodyTextChar"/>
    <w:pPr>
      <w:spacing w:before="0" w:after="120"/>
    </w:pPr>
    <w:rPr/>
  </w:style>
  <w:style w:type="paragraph" w:styleId="List">
    <w:name w:val="List"/>
    <w:basedOn w:val="Normal"/>
    <w:pPr>
      <w:spacing w:before="0" w:after="100"/>
      <w:ind w:hanging="360" w:left="360"/>
      <w:contextualSpacing/>
    </w:pPr>
    <w:rPr/>
  </w:style>
  <w:style w:type="paragraph" w:styleId="Caption">
    <w:name w:val="caption"/>
    <w:basedOn w:val="Normal"/>
    <w:next w:val="Normal"/>
    <w:qFormat/>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pPr>
      <w:tabs>
        <w:tab w:val="clear" w:pos="720"/>
        <w:tab w:val="center" w:pos="4680" w:leader="none"/>
        <w:tab w:val="right" w:pos="9360" w:leader="none"/>
      </w:tabs>
      <w:spacing w:lineRule="auto" w:line="240" w:before="0" w:after="0"/>
    </w:pPr>
    <w:rPr/>
  </w:style>
  <w:style w:type="paragraph" w:styleId="Footer">
    <w:name w:val="footer"/>
    <w:basedOn w:val="Normal"/>
    <w:link w:val="FooterChar"/>
    <w:pPr>
      <w:tabs>
        <w:tab w:val="clear" w:pos="720"/>
        <w:tab w:val="center" w:pos="4680" w:leader="none"/>
        <w:tab w:val="right" w:pos="9360" w:leader="none"/>
      </w:tabs>
      <w:spacing w:lineRule="auto" w:line="240" w:before="0" w:after="0"/>
    </w:pPr>
    <w:rPr/>
  </w:style>
  <w:style w:type="paragraph" w:styleId="NoSpacing">
    <w:name w:val="No Spacing"/>
    <w:qFormat/>
    <w:pPr>
      <w:widowControl/>
      <w:kinsoku w:val="true"/>
      <w:overflowPunct w:val="true"/>
      <w:autoSpaceDE w:val="true"/>
      <w:bidi w:val="0"/>
      <w:spacing w:lineRule="auto" w:line="240" w:before="0" w:after="0"/>
      <w:jc w:val="left"/>
    </w:pPr>
    <w:rPr>
      <w:rFonts w:ascii="Cambria" w:hAnsi="Cambria" w:eastAsia="ＭＳ 明朝"/>
      <w:color w:val="auto"/>
      <w:kern w:val="0"/>
      <w:sz w:val="22"/>
      <w:szCs w:val="22"/>
      <w:lang w:val="en-US" w:eastAsia="en-US" w:bidi="ar-SA"/>
    </w:rPr>
  </w:style>
  <w:style w:type="paragraph" w:styleId="Title">
    <w:name w:val="Title"/>
    <w:basedOn w:val="Normal"/>
    <w:next w:val="Normal"/>
    <w:link w:val="TitleChar"/>
    <w:qFormat/>
    <w:pPr>
      <w:pBdr>
        <w:bottom w:val="single" w:sz="8" w:space="4" w:color="4F81BD"/>
      </w:pBdr>
      <w:spacing w:lineRule="auto" w:line="228" w:before="0" w:after="240"/>
      <w:contextualSpacing/>
    </w:pPr>
    <w:rPr>
      <w:rFonts w:ascii="Calibri" w:hAnsi="Calibri" w:eastAsia="ＭＳ ゴシック" w:cs="Noto Kufi Arabic"/>
      <w:b/>
      <w:color w:val="111827"/>
      <w:spacing w:val="5"/>
      <w:kern w:val="2"/>
      <w:sz w:val="60"/>
      <w:szCs w:val="52"/>
    </w:rPr>
  </w:style>
  <w:style w:type="paragraph" w:styleId="Subtitle">
    <w:name w:val="Subtitle"/>
    <w:basedOn w:val="Normal"/>
    <w:next w:val="Normal"/>
    <w:link w:val="SubtitleChar"/>
    <w:qFormat/>
    <w:pPr/>
    <w:rPr>
      <w:rFonts w:ascii="Calibri" w:hAnsi="Calibri" w:eastAsia="ＭＳ ゴシック" w:cs="Noto Kufi Arabic"/>
      <w:i/>
      <w:iCs/>
      <w:color w:themeColor="accent1" w:val="4F81BD"/>
      <w:spacing w:val="15"/>
      <w:sz w:val="24"/>
      <w:szCs w:val="24"/>
    </w:rPr>
  </w:style>
  <w:style w:type="paragraph" w:styleId="ListParagraph">
    <w:name w:val="List Paragraph"/>
    <w:basedOn w:val="Normal"/>
    <w:qFormat/>
    <w:pPr>
      <w:spacing w:before="0" w:after="100"/>
      <w:ind w:left="720"/>
      <w:contextualSpacing/>
    </w:pPr>
    <w:rPr/>
  </w:style>
  <w:style w:type="paragraph" w:styleId="BodyText2">
    <w:name w:val="Body Text 2"/>
    <w:basedOn w:val="Normal"/>
    <w:link w:val="BodyText2Char"/>
    <w:qFormat/>
    <w:pPr>
      <w:spacing w:lineRule="auto" w:line="480" w:before="0" w:after="120"/>
    </w:pPr>
    <w:rPr/>
  </w:style>
  <w:style w:type="paragraph" w:styleId="BodyText3">
    <w:name w:val="Body Text 3"/>
    <w:basedOn w:val="Normal"/>
    <w:link w:val="BodyText3Char"/>
    <w:qFormat/>
    <w:pPr>
      <w:spacing w:before="0" w:after="120"/>
    </w:pPr>
    <w:rPr>
      <w:sz w:val="16"/>
      <w:szCs w:val="16"/>
    </w:rPr>
  </w:style>
  <w:style w:type="paragraph" w:styleId="List2">
    <w:name w:val="List 2"/>
    <w:basedOn w:val="Normal"/>
    <w:qFormat/>
    <w:pPr>
      <w:spacing w:before="0" w:after="100"/>
      <w:ind w:hanging="360" w:left="720"/>
      <w:contextualSpacing/>
    </w:pPr>
    <w:rPr/>
  </w:style>
  <w:style w:type="paragraph" w:styleId="List3">
    <w:name w:val="List 3"/>
    <w:basedOn w:val="Normal"/>
    <w:qFormat/>
    <w:pPr>
      <w:spacing w:before="0" w:after="100"/>
      <w:ind w:hanging="360" w:left="1080"/>
      <w:contextualSpacing/>
    </w:pPr>
    <w:rPr/>
  </w:style>
  <w:style w:type="paragraph" w:styleId="ListBullet">
    <w:name w:val="List Bullet"/>
    <w:basedOn w:val="Normal"/>
    <w:pPr>
      <w:numPr>
        <w:ilvl w:val="0"/>
        <w:numId w:val="2"/>
      </w:numPr>
      <w:spacing w:before="0" w:after="100"/>
      <w:contextualSpacing/>
    </w:pPr>
    <w:rPr>
      <w:rFonts w:ascii="Nimbus Sans" w:hAnsi="Nimbus Sans" w:eastAsia="Nimbus Sans"/>
      <w:color w:val="111827"/>
      <w:sz w:val="18"/>
    </w:rPr>
  </w:style>
  <w:style w:type="paragraph" w:styleId="ListBullet2">
    <w:name w:val="List Bullet 2"/>
    <w:basedOn w:val="Normal"/>
    <w:pPr>
      <w:numPr>
        <w:ilvl w:val="0"/>
        <w:numId w:val="3"/>
      </w:numPr>
      <w:spacing w:before="0" w:after="100"/>
      <w:contextualSpacing/>
    </w:pPr>
    <w:rPr>
      <w:rFonts w:ascii="Nimbus Sans" w:hAnsi="Nimbus Sans" w:eastAsia="Nimbus Sans"/>
      <w:color w:val="111827"/>
      <w:sz w:val="18"/>
    </w:rPr>
  </w:style>
  <w:style w:type="paragraph" w:styleId="ListBullet3">
    <w:name w:val="List Bullet 3"/>
    <w:basedOn w:val="Normal"/>
    <w:pPr>
      <w:numPr>
        <w:ilvl w:val="0"/>
        <w:numId w:val="4"/>
      </w:numPr>
      <w:spacing w:before="0" w:after="100"/>
      <w:contextualSpacing/>
    </w:pPr>
    <w:rPr/>
  </w:style>
  <w:style w:type="paragraph" w:styleId="ListNumber">
    <w:name w:val="List Number"/>
    <w:basedOn w:val="Normal"/>
    <w:pPr>
      <w:numPr>
        <w:ilvl w:val="0"/>
        <w:numId w:val="5"/>
      </w:numPr>
      <w:spacing w:before="0" w:after="100"/>
      <w:contextualSpacing/>
    </w:pPr>
    <w:rPr>
      <w:rFonts w:ascii="Nimbus Sans" w:hAnsi="Nimbus Sans" w:eastAsia="Nimbus Sans"/>
      <w:color w:val="111827"/>
      <w:sz w:val="18"/>
    </w:rPr>
  </w:style>
  <w:style w:type="paragraph" w:styleId="ListNumber2">
    <w:name w:val="List Number 2"/>
    <w:basedOn w:val="Normal"/>
    <w:pPr>
      <w:numPr>
        <w:ilvl w:val="0"/>
        <w:numId w:val="6"/>
      </w:numPr>
      <w:spacing w:before="0" w:after="100"/>
      <w:contextualSpacing/>
    </w:pPr>
    <w:rPr/>
  </w:style>
  <w:style w:type="paragraph" w:styleId="ListNumber3">
    <w:name w:val="List Number 3"/>
    <w:basedOn w:val="Normal"/>
    <w:pPr>
      <w:numPr>
        <w:ilvl w:val="0"/>
        <w:numId w:val="7"/>
      </w:numPr>
      <w:spacing w:before="0" w:after="100"/>
      <w:contextualSpacing/>
    </w:pPr>
    <w:rPr/>
  </w:style>
  <w:style w:type="paragraph" w:styleId="ListContinue">
    <w:name w:val="List Continue"/>
    <w:basedOn w:val="Normal"/>
    <w:pPr>
      <w:spacing w:before="0" w:after="120"/>
      <w:ind w:left="360"/>
      <w:contextualSpacing/>
    </w:pPr>
    <w:rPr/>
  </w:style>
  <w:style w:type="paragraph" w:styleId="ListContinue2">
    <w:name w:val="List Continue 2"/>
    <w:basedOn w:val="Normal"/>
    <w:pPr>
      <w:spacing w:before="0" w:after="120"/>
      <w:ind w:left="720"/>
      <w:contextualSpacing/>
    </w:pPr>
    <w:rPr/>
  </w:style>
  <w:style w:type="paragraph" w:styleId="ListContinue3">
    <w:name w:val="List Continue 3"/>
    <w:basedOn w:val="Normal"/>
    <w:pPr>
      <w:spacing w:before="0" w:after="120"/>
      <w:ind w:left="1080"/>
      <w:contextualSpacing/>
    </w:pPr>
    <w:rPr/>
  </w:style>
  <w:style w:type="paragraph" w:styleId="MacroText">
    <w:name w:val="macro"/>
    <w:link w:val="MacroTextChar"/>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kinsoku w:val="true"/>
      <w:overflowPunct w:val="true"/>
      <w:autoSpaceDE w:val="true"/>
      <w:bidi w:val="0"/>
      <w:spacing w:lineRule="auto" w:line="276" w:before="0" w:after="200"/>
      <w:jc w:val="left"/>
    </w:pPr>
    <w:rPr>
      <w:rFonts w:ascii="Courier" w:hAnsi="Courier" w:eastAsia="ＭＳ 明朝"/>
      <w:color w:val="auto"/>
      <w:kern w:val="0"/>
      <w:sz w:val="20"/>
      <w:szCs w:val="20"/>
      <w:lang w:val="en-US" w:eastAsia="en-US" w:bidi="ar-SA"/>
    </w:rPr>
  </w:style>
  <w:style w:type="paragraph" w:styleId="Quote">
    <w:name w:val="Quote"/>
    <w:basedOn w:val="Normal"/>
    <w:next w:val="Normal"/>
    <w:link w:val="QuoteChar"/>
    <w:qFormat/>
    <w:pPr/>
    <w:rPr>
      <w:i/>
      <w:iCs/>
      <w:color w:themeColor="text1" w:val="000000"/>
    </w:rPr>
  </w:style>
  <w:style w:type="paragraph" w:styleId="IntenseQuote">
    <w:name w:val="Intense Quote"/>
    <w:basedOn w:val="Normal"/>
    <w:next w:val="Normal"/>
    <w:link w:val="IntenseQuoteChar"/>
    <w:qFormat/>
    <w:pPr>
      <w:pBdr>
        <w:bottom w:val="single" w:sz="4" w:space="4" w:color="4F81BD"/>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qFormat/>
    <w:pPr>
      <w:outlineLvl w:val="9"/>
    </w:pPr>
    <w:rPr/>
  </w:style>
  <w:style w:type="paragraph" w:styleId="TableContents">
    <w:name w:val="Table Contents"/>
    <w:basedOn w:val="Normal"/>
    <w:qFormat/>
    <w:pPr>
      <w:widowControl w:val="false"/>
      <w:suppressLineNumber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eb.archive.org/web/20260921044305/https://api-security.owasp.org/" TargetMode="External"/><Relationship Id="rId3" Type="http://schemas.openxmlformats.org/officeDocument/2006/relationships/hyperlink" Target="https://github.com/OWASP/API-Security/commit/9ef4ea0b867b99aa19485073cc846ba663a55220" TargetMode="External"/><Relationship Id="rId4" Type="http://schemas.openxmlformats.org/officeDocument/2006/relationships/hyperlink" Target="https://web.archive.org/web/20260921152033/https://api-security.owasp.org/" TargetMode="External"/><Relationship Id="rId5" Type="http://schemas.openxmlformats.org/officeDocument/2006/relationships/hyperlink" Target="https://github.com/OWASP/API-Security/commit/ed89451e41ebf965cab53e80e926f52064e6412d" TargetMode="External"/><Relationship Id="rId6" Type="http://schemas.openxmlformats.org/officeDocument/2006/relationships/hyperlink" Target="https://github.com/OWASP/API-Security/blob/master/.github/workflows/ci.yml" TargetMode="External"/><Relationship Id="rId7" Type="http://schemas.openxmlformats.org/officeDocument/2006/relationships/hyperlink" Target="https://web.archive.org/web/20260921212543/https://api-security.owasp.org/" TargetMode="External"/><Relationship Id="rId8" Type="http://schemas.openxmlformats.org/officeDocument/2006/relationships/hyperlink" Target="https://github.com/OWASP/API-Security/commit/3d6e4df271a6c3aea08dff375c90e022c91db171" TargetMode="External"/><Relationship Id="rId9" Type="http://schemas.openxmlformats.org/officeDocument/2006/relationships/hyperlink" Target="https://api-security.owasp.org/" TargetMode="External"/><Relationship Id="rId10" Type="http://schemas.openxmlformats.org/officeDocument/2006/relationships/hyperlink" Target="https://docs.github.com/en/pages/configuring-a-custom-domain-for-your-github-pages-site/troubleshooting-custom-domains-and-github-pages" TargetMode="External"/><Relationship Id="rId11" Type="http://schemas.openxmlformats.org/officeDocument/2006/relationships/hyperlink" Target="https://lookup.icann.org/en/lookup?name=owasp.org" TargetMode="External"/><Relationship Id="rId12" Type="http://schemas.openxmlformats.org/officeDocument/2006/relationships/hyperlink" Target="https://cheatsheetseries.owasp.org/cheatsheets/Subdomain_Takeover_Prevention_Cheat_Sheet.html" TargetMode="External"/><Relationship Id="rId13" Type="http://schemas.openxmlformats.org/officeDocument/2006/relationships/hyperlink" Target="https://www.noxoffsec.com/" TargetMode="External"/><Relationship Id="rId14" Type="http://schemas.openxmlformats.org/officeDocument/2006/relationships/hyperlink" Target="https://www.econodata.com.br/consulta-empresa/66736374000188-adrian-da-silva-julio-e-cia-ltda" TargetMode="External"/><Relationship Id="rId15" Type="http://schemas.openxmlformats.org/officeDocument/2006/relationships/hyperlink" Target="https://br.linkedin.com/company/nox-offensive-security" TargetMode="External"/><Relationship Id="rId16" Type="http://schemas.openxmlformats.org/officeDocument/2006/relationships/hyperlink" Target="https://x.com/0xTib3rius/status/2102146629805441149" TargetMode="External"/><Relationship Id="rId17" Type="http://schemas.openxmlformats.org/officeDocument/2006/relationships/hyperlink" Target="https://www.reddit.com/r/cybersecurity/comments/1wmnxqa/comment/pbcf8bj/" TargetMode="External"/><Relationship Id="rId18" Type="http://schemas.openxmlformats.org/officeDocument/2006/relationships/hyperlink" Target="https://www.planalto.gov.br/ccivil_03/decreto-lei/del2848compilado.htm" TargetMode="External"/><Relationship Id="rId19" Type="http://schemas.openxmlformats.org/officeDocument/2006/relationships/hyperlink" Target="https://owasp.org/staff" TargetMode="External"/><Relationship Id="rId20" Type="http://schemas.openxmlformats.org/officeDocument/2006/relationships/hyperlink" Target="https://github.com/OWASP/Top10" TargetMode="External"/><Relationship Id="rId21" Type="http://schemas.openxmlformats.org/officeDocument/2006/relationships/hyperlink" Target="https://docs.github.com/en/pages/configuring-a-custom-domain-for-your-github-pages-site/verifying-your-custom-domain-for-github-pages" TargetMode="External"/><Relationship Id="rId22" Type="http://schemas.openxmlformats.org/officeDocument/2006/relationships/hyperlink" Target="https://wstg.owasp.org/latest/4-Web_Application_Security_Testing/02-Configuration_and_Deployment_Management/10-Subdomain_Takeover/" TargetMode="External"/><Relationship Id="rId23" Type="http://schemas.openxmlformats.org/officeDocument/2006/relationships/hyperlink" Target="https://owasp.org/security/" TargetMode="External"/><Relationship Id="rId24" Type="http://schemas.openxmlformats.org/officeDocument/2006/relationships/header" Target="header1.xml"/><Relationship Id="rId25" Type="http://schemas.openxmlformats.org/officeDocument/2006/relationships/header" Target="header2.xml"/><Relationship Id="rId26" Type="http://schemas.openxmlformats.org/officeDocument/2006/relationships/footer" Target="footer1.xml"/><Relationship Id="rId27" Type="http://schemas.openxmlformats.org/officeDocument/2006/relationships/footer" Target="footer2.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LibreOffice/26.2.6.3$Linux_X86_64 LibreOffice_project/620$Build-3</Application>
  <AppVersion>15.0000</AppVersion>
  <Pages>12</Pages>
  <Words>3373</Words>
  <Characters>20105</Characters>
  <CharactersWithSpaces>23070</CharactersWithSpaces>
  <Paragraphs>404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
  <dc:description>Prepared from public sources as at 22 September 2026</dc:description>
  <cp:keywords>OWASP GitHub Pages subdomain takeover incident assessment</cp:keywords>
  <dc:language>en-US</dc:language>
  <cp:lastModifiedBy/>
  <dcterms:modified xsi:type="dcterms:W3CDTF">2013-12-23T23:15:00Z</dcterms:modified>
  <cp:revision>1</cp:revision>
  <dc:subject>Public-source technical and governance assessment</dc:subject>
  <dc:title>OWASP API Security Subdomain Takeover Assessment</dc:title>
</cp:coreProperties>
</file>

<file path=docProps/custom.xml><?xml version="1.0" encoding="utf-8"?>
<Properties xmlns="http://schemas.openxmlformats.org/officeDocument/2006/custom-properties" xmlns:vt="http://schemas.openxmlformats.org/officeDocument/2006/docPropsVTypes"/>
</file>